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pPr>
        <w:pStyle w:val="FirstParagraph"/>
        <w:spacing w:before="0" w:after="0"/>
        <w:ind w:firstLine="709"/>
        <w:rPr>
          <w:lang w:val="nb-NO"/>
        </w:rPr>
      </w:pPr>
      <w:r>
        <w:t>Pembangkit Listrik Tenaga Mikrohidro (PLTMH) berperan dalam penyediaan listrik berbasis sumber daya lokal, terutama pada sistem terisolasi yang tidak memperoleh dukungan jaringan interkoneksi. Khosravi et al. (2025) menempatkan stabilitas frekuensi sebagai salah satu tantangan utama mikrogrid terisolasi berbasis energi terbarukan. Pada konfigurasi tersebut, perubahan daya beban harus segera diimbangi oleh pembangkitan atau perangkat pengatur beban. Milano et al. (2018) menjelaskan bahwa rendahnya inersia sistem mempercepat perubahan frekuensi setelah terjadi gangguan, sedangkan Fang et al. (2019) menunjukkan bahwa ketidakseimbangan daya aktif menyebabkan frekuensi menyimpang dari nilai nominal. Karakteristik tersebut menempatkan stabilitas frekuensi sebagai salah satu aspek utama keandalan operasi PLTMH terisolasi.</w:t>
      </w:r>
    </w:p>
    <w:p>
      <w:pPr>
        <w:pStyle w:val="FirstParagraph"/>
        <w:spacing w:before="0" w:after="0"/>
        <w:ind w:firstLine="709"/>
        <w:rPr>
          <w:lang w:val="nb-NO"/>
        </w:rPr>
      </w:pPr>
      <w:r>
        <w:t xml:space="preserve">Pada PLTMH dengan daya mekanik turbin yang dipertahankan mendekati konstan, </w:t>
      </w:r>
      <w:r>
        <w:rPr>
          <w:i/>
        </w:rPr>
        <w:t>Electronic Load Controller</w:t>
      </w:r>
      <w:r>
        <w:t xml:space="preserve"> (ELC) menjaga keseimbangan daya dengan mengalihkan selisih antara daya pembangkitan dan daya beban konsumen menuju beban buangan (</w:t>
      </w:r>
      <w:r>
        <w:rPr>
          <w:i/>
        </w:rPr>
        <w:t>dump load</w:t>
      </w:r>
      <w:r>
        <w:t>). Kalla et al. (2016) menjelaskan bahwa ELC meningkatkan penyerapan daya oleh beban buangan ketika beban konsumen menurun. Singh et al. (2018)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w:t>
      </w:r>
    </w:p>
    <w:p>
      <w:pPr>
        <w:pStyle w:val="FirstParagraph"/>
        <w:spacing w:before="0" w:after="0"/>
        <w:ind w:firstLine="709"/>
        <w:rPr>
          <w:lang w:val="nb-NO"/>
        </w:rPr>
      </w:pPr>
      <w:r>
        <w:t xml:space="preserve">Pengendali </w:t>
      </w:r>
      <w:r>
        <w:rPr>
          <w:i/>
        </w:rPr>
        <w:t>proportional–integral</w:t>
      </w:r>
      <w:r>
        <w:t xml:space="preserve"> (PI) banyak digunakan pada ELC karena strukturnya sederhana dan mampu menghilangkan galat keadaan tunak. Singh et al. (2018) menunjukkan bahwa aksi PI pada ELC menentukan perintah pengaturan perangkat daya berdasarkan galat frekuensi. Kinerja pengendali ditentukan oleh gain proporsional </w:t>
      </w:r>
      <w:r>
        <w:rPr>
          <w:rFonts w:ascii="Cambria Math" w:hAnsi="Cambria Math"/>
          <w:i/>
        </w:rPr>
        <w:t>K</w:t>
      </w:r>
      <w:r>
        <w:rPr>
          <w:rFonts w:ascii="Cambria Math" w:hAnsi="Cambria Math"/>
          <w:i/>
          <w:vertAlign w:val="subscript"/>
        </w:rPr>
        <w:t>p</w:t>
      </w:r>
      <w:r>
        <w:t xml:space="preserve"> dan gain integral </w:t>
      </w:r>
      <w:r>
        <w:rPr>
          <w:rFonts w:ascii="Cambria Math" w:hAnsi="Cambria Math"/>
          <w:i/>
        </w:rPr>
        <w:t>K</w:t>
      </w:r>
      <w:r>
        <w:rPr>
          <w:rFonts w:ascii="Cambria Math" w:hAnsi="Cambria Math"/>
          <w:i/>
          <w:vertAlign w:val="subscript"/>
        </w:rPr>
        <w:t>i</w:t>
      </w:r>
      <w:r>
        <w:t>. Salhi et al. (2014) memperlihatkan bahwa satu pasangan gain tetap belum tentu mempertahankan kualitas respons yang sama ketika PLTMH menghadapi rentang perubahan beban yang luas. Ndukwe et al. (2024) juga menunjukkan bahwa pembaruan gain PI berdasarkan kondisi operasi dapat memperbaiki respons dinamis pengendali beban. Temuan tersebut mengarahkan persoalan dari pencarian satu pasangan gain menuju penentuan gain yang sesuai dengan kondisi operasi sistem.</w:t>
      </w:r>
    </w:p>
    <w:p>
      <w:pPr>
        <w:pStyle w:val="FirstParagraph"/>
        <w:spacing w:before="0" w:after="0"/>
        <w:ind w:firstLine="709"/>
        <w:rPr>
          <w:lang w:val="nb-NO"/>
        </w:rPr>
      </w:pPr>
      <w:r>
        <w:t>Águila-León et al. (2020) menunjukkan penggunaan GWO, PSO, dan GA untuk mencari parameter pengendali yang meminimalkan galat pada konverter daya, sedangkan Hosseini et al. (2024) mengidentifikasi penggunaan metaheuristik yang luas pada aplikasi energi. Pendekatan tersebut relevan sebagai bagian perkembangan metode penalaan parameter, tetapi tidak digunakan sebagai mekanisme penentu gain adaptif dalam penelitian ini. Target gain penelitian dibentuk secara luring melalui pencarian grid bertahap pada model simulasi, sedangkan penentuan gain ketika pengendali beroperasi dilakukan oleh model pembelajaran temporal.</w:t>
      </w:r>
    </w:p>
    <w:p>
      <w:pPr>
        <w:pStyle w:val="FirstParagraph"/>
        <w:spacing w:before="0" w:after="0"/>
        <w:ind w:firstLine="709"/>
        <w:rPr>
          <w:lang w:val="nb-NO"/>
        </w:rPr>
      </w:pPr>
      <w:r>
        <w:t xml:space="preserve">Hochreiter dan Schmidhuber (1997) mengembangkan </w:t>
      </w:r>
      <w:r>
        <w:rPr>
          <w:i/>
        </w:rPr>
        <w:t>Long Short-Term Memory</w:t>
      </w:r>
      <w:r>
        <w:t xml:space="preserve"> (LSTM) untuk mempelajari dependensi pada data sekuensial melalui keadaan sel dan mekanisme gerbang. Chen et al. (2022) kemudian memperkenalkan </w:t>
      </w:r>
      <w:r>
        <w:rPr>
          <w:i/>
        </w:rPr>
        <w:t>Quantum Long Short-Term Memory</w:t>
      </w:r>
      <w:r>
        <w:t xml:space="preserve"> (QLSTM) dengan mengintegrasikan </w:t>
      </w:r>
      <w:r>
        <w:rPr>
          <w:i/>
        </w:rPr>
        <w:t>variational quantum circuit</w:t>
      </w:r>
      <w:r>
        <w:t xml:space="preserve"> (VQC) ke dalam transformasi gerbang LSTM. Khan et al. (2024) memperlihatkan bahwa perbandingan QLSTM dan LSTM perlu dilakukan secara empiris pada domain dan dataset yang sebanding. Landasan tersebut mendukung penggunaan LSTM sebagai pembanding klasik terhadap QLSTM tanpa mengasumsikan terlebih dahulu bahwa QLSTM akan menghasilkan kinerja yang lebih baik.</w:t>
      </w:r>
    </w:p>
    <w:p>
      <w:pPr>
        <w:pStyle w:val="FirstParagraph"/>
        <w:spacing w:before="0" w:after="0"/>
        <w:ind w:firstLine="709"/>
        <w:rPr>
          <w:lang w:val="nb-NO"/>
        </w:rPr>
      </w:pPr>
      <w:r>
        <w:t xml:space="preserve">Dalam penelitian ini, QLSTM tidak diposisikan sebagai algoritma optimasi dan tidak menggantikan pengendali PI. QLSTM berfungsi sebagai model pembelajaran temporal yang mengestimasi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dari jendela kondisi operasi. Pengendali PI tetap membentuk sinyal kendali ELC, sedangkan QLSTM bertindak sebagai penjadwal gain pada tingkat supervisori. Dengan struktur tersebut, QLSTM menjadi komponen pembelajaran yang menentukan pasangan gain adaptif, sementara struktur kendali utama ELC tetap berbasis PI.</w:t>
      </w:r>
    </w:p>
    <w:p>
      <w:pPr>
        <w:pStyle w:val="FirstParagraph"/>
        <w:spacing w:before="0" w:after="0"/>
        <w:ind w:firstLine="709"/>
        <w:rPr>
          <w:lang w:val="nb-NO"/>
        </w:rPr>
      </w:pPr>
      <w:r>
        <w:t xml:space="preserve">Pembelajaran terawasi memerlukan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Target tersebut dibentuk melalui simulasi kandidat gain dengan pencarian grid bertahap (</w:t>
      </w:r>
      <w:r>
        <w:rPr>
          <w:i/>
        </w:rPr>
        <w:t>coarse-to-fine grid search</w:t>
      </w:r>
      <w:r>
        <w:t xml:space="preserve">) menggunakan fungsi objektif yang telah ditetapkan. Proses pencarian hanya digunakan pada tahap pembentukan label dataset dan tidak dijalankan di dalam </w:t>
      </w:r>
      <w:r>
        <w:rPr>
          <w:i/>
        </w:rPr>
        <w:t>closed-loop</w:t>
      </w:r>
      <w:r>
        <w:t xml:space="preserve"> ketika LSTM–PI maupun QLSTM–PI dievaluasi. Struktur ini memisahkan dengan jelas proses pembentukan target dari proses estimasi gain adaptif.</w:t>
      </w:r>
    </w:p>
    <w:p>
      <w:pPr>
        <w:pStyle w:val="FirstParagraph"/>
        <w:spacing w:before="0" w:after="0"/>
        <w:ind w:firstLine="709"/>
        <w:rPr>
          <w:lang w:val="nb-NO"/>
        </w:rPr>
      </w:pPr>
      <w:r>
        <w:t>Jendela temporal model akhir menggunakan empat fitur, yaitu deviasi frekuensi, daya mekanik, daya elektrik, dan daya beban buangan. Pemisahan dataset dilakukan pada tingkat keluarga dinamik, bukan melalui pengacakan baris atau titik waktu. Pendekatan tersebut menjaga keluarga pelatihan, validasi, dan pengujian tetap terpisah sehingga ketergantungan temporal dari keluarga yang sama tidak tersebar ke beberapa subset data. Prinsip tersebut sejalan dengan perhatian Bergmeir et al. (2018) terhadap risiko bias evaluasi ketika ketergantungan temporal tidak dipertimbangkan.</w:t>
      </w:r>
    </w:p>
    <w:p>
      <w:pPr>
        <w:pStyle w:val="FirstParagraph"/>
        <w:spacing w:before="0" w:after="0"/>
        <w:ind w:firstLine="709"/>
        <w:rPr>
          <w:lang w:val="nb-NO"/>
        </w:rPr>
      </w:pPr>
      <w:r>
        <w:t xml:space="preserve">Gain yang dihasilkan model tidak langsung diterapkan tanpa pembatasan. Prediksi dikembalikan ke skala fisik, diperiksa keterhinggaannya, dibatasi pada </w:t>
      </w:r>
      <w:r>
        <w:rPr>
          <w:i/>
        </w:rPr>
        <w:t>envelope</w:t>
      </w:r>
      <w:r>
        <w:t xml:space="preserve"> gain yang telah ditetapkan, kemudian dikenai pembatasan laju perubahan gain sebelum diaplikasikan pada PI. Mekanisme tersebut digunakan secara identik pada LSTM–PI dan QLSTM–PI sehingga perbandingan kedua model tidak dipengaruhi oleh perbedaan aturan penerapan gain.</w:t>
      </w:r>
    </w:p>
    <w:p>
      <w:pPr>
        <w:pStyle w:val="FirstParagraph"/>
        <w:spacing w:before="0" w:after="0"/>
        <w:ind w:firstLine="709"/>
        <w:rPr>
          <w:lang w:val="nb-NO"/>
        </w:rPr>
      </w:pPr>
      <w:r>
        <w:t xml:space="preserve">Berdasarkan uraian tersebut, penelitian diarahkan pada pengembangan dan evaluasi penjadwalan gain PI adaptif berbasis QLSTM untuk ELC PLTMH terisolasi. Kontribusi metodologis penelitian terletak pada rantai yang dapat ditelusuri mulai dari pembentukan target gain, pembentukan dataset temporal, pembelajaran LSTM dan QLSTM, penerapan gain melalui mekanisme supervisori, hingga evaluasi </w:t>
      </w:r>
      <w:r>
        <w:rPr>
          <w:i/>
        </w:rPr>
        <w:t>closed-loop</w:t>
      </w:r>
      <w:r>
        <w:t>. Perbandingan dengan PI gain tetap dan LSTM–PI digunakan untuk menilai kinerja QLSTM–PI secara empiris tanpa menjadikan superioritas QLSTM sebagai asumsi penelitian.</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pPr>
        <w:pStyle w:val="FirstParagraph"/>
        <w:spacing w:before="0" w:after="0"/>
        <w:ind w:firstLine="709"/>
        <w:rPr>
          <w:lang w:val="nb-NO"/>
        </w:rPr>
      </w:pPr>
      <w:r>
        <w:t xml:space="preserve">ELC dengan gain PI tetap dapat menghasilkan kualitas respons yang berbeda ketika sistem menghadapi perubahan kondisi operasi. Penggunaan model temporal untuk menentukan gain adaptif memerlukan sumber target gain yang dapat ditelusuri, pemisahan data yang mencegah kebocoran, mekanisme penerapan gain yang konsisten, serta evaluasi </w:t>
      </w:r>
      <w:r>
        <w:rPr>
          <w:i/>
        </w:rPr>
        <w:t>closed-loop</w:t>
      </w:r>
      <w:r>
        <w:t xml:space="preserve"> yang memperlakukan LSTM dan QLSTM secara sebanding. Berdasarkan permasalahan tersebut, penelitian dirumuskan melalui pertanyaan berikut.</w:t>
      </w:r>
    </w:p>
    <w:p>
      <w:pPr>
        <w:pStyle w:val="FirstParagraph"/>
        <w:spacing w:before="0" w:after="0"/>
        <w:ind w:left="425" w:hanging="283"/>
        <w:rPr>
          <w:lang w:val="nb-NO"/>
        </w:rPr>
      </w:pPr>
      <w:r>
        <w:t xml:space="preserve">1. </w:t>
      </w:r>
      <w:r>
        <w:t>Bagaimana membangun model dinamis PLTMH terisolasi yang merepresentasikan interaksi turbin, generator sinkron, beban konsumen, dan ELC terhadap perubahan frekuensi?</w:t>
      </w:r>
    </w:p>
    <w:p>
      <w:pPr>
        <w:pStyle w:val="FirstParagraph"/>
        <w:spacing w:before="0" w:after="0"/>
        <w:ind w:left="425" w:hanging="283"/>
        <w:rPr>
          <w:lang w:val="nb-NO"/>
        </w:rPr>
      </w:pPr>
      <w:r>
        <w:t xml:space="preserve">2. </w:t>
      </w:r>
      <w:r>
        <w:t xml:space="preserve">Bagaimana membentuk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untuk menyediakan label pembelajaran LSTM dan QLSTM tanpa menggunakan algoritma metaheuristik sebagai penentu gain adaptif?</w:t>
      </w:r>
    </w:p>
    <w:p>
      <w:pPr>
        <w:pStyle w:val="FirstParagraph"/>
        <w:spacing w:before="0" w:after="0"/>
        <w:ind w:left="425" w:hanging="283"/>
        <w:rPr>
          <w:lang w:val="nb-NO"/>
        </w:rPr>
      </w:pPr>
      <w:r>
        <w:t xml:space="preserve">3. </w:t>
      </w:r>
      <w:r>
        <w:t xml:space="preserve">Bagaimana mengembangkan QLSTM sebagai model pembelajaran temporal yang menentukan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secara adaptif serta mengintegrasikan keluarannya ke pengendali PI melalui pembatasan gain dan pembatasan laju perubahan gain?</w:t>
      </w:r>
    </w:p>
    <w:p>
      <w:pPr>
        <w:pStyle w:val="FirstParagraph"/>
        <w:spacing w:before="0" w:after="0"/>
        <w:ind w:left="425" w:hanging="283"/>
        <w:rPr>
          <w:lang w:val="nb-NO"/>
        </w:rPr>
      </w:pPr>
      <w:r>
        <w:t xml:space="preserve">4. </w:t>
      </w:r>
      <w:r>
        <w:t>Bagaimana kinerja ELC dengan penjadwalan gain PI berbasis QLSTM dibandingkan dengan PI gain tetap dan LSTM–PI pada keluarga dinamik pengujian yang telah dipisahkan dari data pelatihan?</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pPr>
        <w:pStyle w:val="FirstParagraph"/>
        <w:spacing w:before="0" w:after="0"/>
        <w:ind w:firstLine="709"/>
        <w:rPr>
          <w:lang w:val="nb-NO"/>
        </w:rPr>
      </w:pPr>
      <w:r>
        <w:t>Penelitian ini bertujuan mengembangkan dan mengevaluasi penjadwalan gain PI adaptif berbasis QLSTM pada ELC PLTMH terisolasi serta membandingkan kinerjanya dengan PI gain tetap dan LSTM–PI pada kondisi evaluasi yang telah ditetapkan.</w:t>
      </w:r>
    </w:p>
    <w:p>
      <w:pPr>
        <w:pStyle w:val="FirstParagraph"/>
        <w:spacing w:before="0" w:after="0"/>
        <w:ind w:firstLine="709"/>
        <w:rPr>
          <w:lang w:val="nb-NO"/>
        </w:rPr>
      </w:pPr>
      <w:r>
        <w:t>Tujuan khusus penelitian meliputi:</w:t>
      </w:r>
    </w:p>
    <w:p>
      <w:pPr>
        <w:pStyle w:val="FirstParagraph"/>
        <w:spacing w:before="0" w:after="0"/>
        <w:ind w:left="425" w:hanging="283"/>
        <w:rPr>
          <w:lang w:val="nb-NO"/>
        </w:rPr>
      </w:pPr>
      <w:r>
        <w:t xml:space="preserve">1. </w:t>
      </w:r>
      <w:r>
        <w:t>membangun dan memvalidasi model dinamis PLTMH–ELC yang merepresentasikan respons frekuensi akibat perubahan beban;</w:t>
      </w:r>
    </w:p>
    <w:p>
      <w:pPr>
        <w:pStyle w:val="FirstParagraph"/>
        <w:spacing w:before="0" w:after="0"/>
        <w:ind w:left="425" w:hanging="283"/>
        <w:rPr>
          <w:lang w:val="nb-NO"/>
        </w:rPr>
      </w:pPr>
      <w:r>
        <w:t xml:space="preserve">2. </w:t>
      </w:r>
      <w:r>
        <w:t xml:space="preserve">membentuk dataset temporal beserta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melalui pencarian grid bertahap berbasis simulasi menggunakan fungsi objektif yang telah ditetapkan;</w:t>
      </w:r>
    </w:p>
    <w:p>
      <w:pPr>
        <w:pStyle w:val="FirstParagraph"/>
        <w:spacing w:before="0" w:after="0"/>
        <w:ind w:left="425" w:hanging="283"/>
        <w:rPr>
          <w:lang w:val="nb-NO"/>
        </w:rPr>
      </w:pPr>
      <w:r>
        <w:t>3. mengembangkan LSTM dan QLSTM untuk memetakan jendela kondisi operasi menjadi estimasi gain PI yang diterapkan melalui mekanisme penjadwalan gain supervisori yang sama; dan</w:t>
      </w:r>
    </w:p>
    <w:p>
      <w:pPr>
        <w:pStyle w:val="FirstParagraph"/>
        <w:spacing w:before="0" w:after="0"/>
        <w:ind w:left="425" w:hanging="283"/>
        <w:rPr>
          <w:lang w:val="nb-NO"/>
        </w:rPr>
      </w:pPr>
      <w:r>
        <w:t xml:space="preserve">4. </w:t>
      </w:r>
      <w:r>
        <w:t>membandingkan secara deskriptif kinerja PI gain tetap, LSTM–PI, dan QLSTM–PI dengan RMSE deviasi frekuensi sebagai metrik primer pada keluarga dinamik uji independen, disertai indikator respons dinamik dan beban komputasi sebagai bukti pendukung.</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pPr>
        <w:pStyle w:val="FirstParagraph"/>
        <w:spacing w:before="0" w:after="0"/>
        <w:ind w:firstLine="709"/>
        <w:rPr>
          <w:lang w:val="nb-NO"/>
        </w:rPr>
      </w:pPr>
      <w:r>
        <w:t xml:space="preserve">Penelitian ini memberikan manfaat pada aspek konseptual, metodologis, dan praktis dalam pengembangan pengendalian frekuensi PLTMH terisolasi. Pada aspek konseptual, penelitian memperjelas kedudukan QLSTM sebagai model pembelajaran temporal pada tingkat supervisori yang mengestimasi gain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xml:space="preserve">, sedangkan pengendali PI tetap menjadi pengendali utama ELC. Struktur tersebut memberikan kerangka yang jelas untuk membedakan fungsi model pembelajaran dari fungsi pengendali </w:t>
      </w:r>
      <w:r>
        <w:rPr>
          <w:i/>
        </w:rPr>
        <w:t>closed-loop</w:t>
      </w:r>
      <w:r>
        <w:t>.</w:t>
      </w:r>
    </w:p>
    <w:p>
      <w:pPr>
        <w:pStyle w:val="FirstParagraph"/>
        <w:spacing w:before="0" w:after="0"/>
        <w:ind w:firstLine="709"/>
        <w:rPr>
          <w:lang w:val="nb-NO"/>
        </w:rPr>
      </w:pPr>
      <w:r>
        <w:t xml:space="preserve">Pada aspek metodologis, penelitian menghasilkan alur yang dapat ditelusuri mulai dari pembentukan target gain melalui pencarian grid bertahap, pembentukan jendela temporal, pelatihan LSTM dan QLSTM dengan target yang sama, hingga evaluasi ketiga konfigurasi pengendali. Pemisahan data dilakukan berdasarkan keluarga dinamik sehingga keluarga pelatihan, validasi, dan pengujian tetap terpisah serta tidak terjadi </w:t>
      </w:r>
      <w:r>
        <w:rPr>
          <w:i/>
        </w:rPr>
        <w:t>family leakage</w:t>
      </w:r>
      <w:r>
        <w:t xml:space="preserve"> maupun </w:t>
      </w:r>
      <w:r>
        <w:rPr>
          <w:i/>
        </w:rPr>
        <w:t>scenario leakage</w:t>
      </w:r>
      <w:r>
        <w:t>. Pendekatan tersebut memperkuat keterlacakan evaluasi kemampuan model pada kondisi dinamik yang tidak digunakan sebagai keluarga pelatihan.</w:t>
      </w:r>
    </w:p>
    <w:p>
      <w:pPr>
        <w:pStyle w:val="FirstParagraph"/>
        <w:spacing w:before="0" w:after="0"/>
        <w:ind w:firstLine="709"/>
        <w:rPr>
          <w:lang w:val="nb-NO"/>
        </w:rPr>
      </w:pPr>
      <w:r>
        <w:t xml:space="preserve">Manfaat metodologis lain terletak pada mekanisme penerapan gain yang sama bagi LSTM–PI dan QLSTM–PI. Prediksi gain dikembalikan ke skala fisik, diperiksa keterhinggaannya, dibatasi pada </w:t>
      </w:r>
      <w:r>
        <w:rPr>
          <w:i/>
        </w:rPr>
        <w:t>envelope</w:t>
      </w:r>
      <w:r>
        <w:t xml:space="preserve"> gain </w:t>
      </w:r>
      <w:r>
        <w:rPr>
          <w:i/>
        </w:rPr>
        <w:t>admissible</w:t>
      </w:r>
      <w:r>
        <w:t xml:space="preserve">, kemudian dikenai pembatasan laju perubahan sebelum diterapkan pada PI. Mekanisme tersebut memisahkan pengaruh keluaran model dari aturan keselamatan dan transisi gain yang diterapkan pada sistem </w:t>
      </w:r>
      <w:r>
        <w:rPr>
          <w:i/>
        </w:rPr>
        <w:t>closed-loop</w:t>
      </w:r>
      <w:r>
        <w:t>.</w:t>
      </w:r>
    </w:p>
    <w:p>
      <w:pPr>
        <w:pStyle w:val="FirstParagraph"/>
        <w:spacing w:before="0" w:after="0"/>
        <w:ind w:firstLine="709"/>
        <w:rPr>
          <w:lang w:val="nb-NO"/>
        </w:rPr>
      </w:pPr>
      <w:r>
        <w:t xml:space="preserve">Pada aspek praktis, penelitian menyediakan bukti simulasi mengenai kinerja, aktivitas kendali, dan beban komputasi penjadwalan gain adaptif pada ELC PLTMH. Hasil tersebut dapat digunakan sebagai dasar untuk menilai kelayakan pengembangan lebih lanjut menuju model plant yang lebih lengkap, pengujian ketidakpastian stokastik, </w:t>
      </w:r>
      <w:r>
        <w:rPr>
          <w:i/>
        </w:rPr>
        <w:t>hardware-in-the-loop</w:t>
      </w:r>
      <w:r>
        <w:t>, maupun implementasi waktu nyata. Manfaat ini tidak didasarkan pada asumsi bahwa QLSTM harus lebih unggul, melainkan pada evaluasi empiris terhadap kemampuan dan keterbatasannya pada konfigurasi yang diuji.</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pPr>
        <w:pStyle w:val="FirstParagraph"/>
        <w:spacing w:before="0" w:after="0"/>
        <w:ind w:firstLine="709"/>
        <w:rPr>
          <w:lang w:val="nb-NO"/>
        </w:rPr>
      </w:pPr>
      <w:r>
        <w:t>Penelitian dibatasi pada ketentuan berikut.</w:t>
      </w:r>
    </w:p>
    <w:p>
      <w:pPr>
        <w:pStyle w:val="FirstParagraph"/>
        <w:spacing w:before="0" w:after="0"/>
        <w:ind w:left="425" w:hanging="283"/>
        <w:rPr>
          <w:lang w:val="nb-NO"/>
        </w:rPr>
      </w:pPr>
      <w:r>
        <w:t xml:space="preserve">1. </w:t>
      </w:r>
      <w:r>
        <w:t>Objek penelitian adalah PLTMH terisolasi berkapasitas nominal 100 kW dengan generator sinkron, beban konsumen, ELC, dan beban buangan resistif.</w:t>
      </w:r>
    </w:p>
    <w:p>
      <w:pPr>
        <w:pStyle w:val="FirstParagraph"/>
        <w:spacing w:before="0" w:after="0"/>
        <w:ind w:left="425" w:hanging="283"/>
        <w:rPr>
          <w:lang w:val="nb-NO"/>
        </w:rPr>
      </w:pPr>
      <w:r>
        <w:t xml:space="preserve">2. </w:t>
      </w:r>
      <w:r>
        <w:t xml:space="preserve">Model </w:t>
      </w:r>
      <w:r>
        <w:rPr>
          <w:i/>
        </w:rPr>
        <w:t>closed-loop</w:t>
      </w:r>
      <w:r>
        <w:t xml:space="preserve"> menggunakan representasi ELC </w:t>
      </w:r>
      <w:r>
        <w:rPr>
          <w:i/>
        </w:rPr>
        <w:t>averaged</w:t>
      </w:r>
      <w:r>
        <w:t xml:space="preserve"> dengan daya mekanik pada simulasi utama dipertahankan konstan. Dinamika governor, </w:t>
      </w:r>
      <w:r>
        <w:rPr>
          <w:i/>
        </w:rPr>
        <w:t>waterway</w:t>
      </w:r>
      <w:r>
        <w:t>, CFD turbin, dan transien switching IGBT secara rinci tidak menjadi bagian dari model evaluasi akhir.</w:t>
      </w:r>
    </w:p>
    <w:p>
      <w:pPr>
        <w:pStyle w:val="FirstParagraph"/>
        <w:spacing w:before="0" w:after="0"/>
        <w:ind w:left="425" w:hanging="283"/>
        <w:rPr>
          <w:lang w:val="nb-NO"/>
        </w:rPr>
      </w:pPr>
      <w:r>
        <w:t xml:space="preserve">3. </w:t>
      </w:r>
      <w:r>
        <w:t xml:space="preserve">Pengendali utama ELC adalah PI. LSTM dan QLSTM hanya berfungsi sebagai penjadwal gain supervisori yang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keduanya bukan pengendali langsung.</w:t>
      </w:r>
    </w:p>
    <w:p>
      <w:pPr>
        <w:pStyle w:val="FirstParagraph"/>
        <w:spacing w:before="0" w:after="0"/>
        <w:ind w:left="425" w:hanging="283"/>
        <w:rPr>
          <w:lang w:val="nb-NO"/>
        </w:rPr>
      </w:pPr>
      <w:r>
        <w:t xml:space="preserve">4. </w:t>
      </w:r>
      <w:r>
        <w:t>Target gain dibentuk melalui pencarian grid bertahap berbasis simulasi. Penelitian tidak menggunakan GA, PSO, GWO, SOS, maupun algoritma metaheuristik lain sebagai mekanisme penentu gain adaptif.</w:t>
      </w:r>
    </w:p>
    <w:p>
      <w:pPr>
        <w:pStyle w:val="FirstParagraph"/>
        <w:spacing w:before="0" w:after="0"/>
        <w:ind w:left="425" w:hanging="283"/>
        <w:rPr>
          <w:lang w:val="nb-NO"/>
        </w:rPr>
      </w:pPr>
      <w:r>
        <w:t xml:space="preserve">5. </w:t>
      </w:r>
      <w:r>
        <w:rPr>
          <w:i/>
        </w:rPr>
        <w:t>Envelope</w:t>
      </w:r>
      <w:r>
        <w:t xml:space="preserve"> gain yang digunakan adalah </w:t>
      </w:r>
      <w:r>
        <w:rPr>
          <w:rFonts w:ascii="Cambria Math" w:hAnsi="Cambria Math"/>
          <w:i/>
        </w:rPr>
        <w:t>K</w:t>
      </w:r>
      <w:r>
        <w:rPr>
          <w:rFonts w:ascii="Cambria Math" w:hAnsi="Cambria Math"/>
          <w:i/>
          <w:vertAlign w:val="subscript"/>
        </w:rPr>
        <w:t>p</w:t>
      </w:r>
      <w:r>
        <w:rPr>
          <w:rFonts w:ascii="Cambria Math" w:hAnsi="Cambria Math"/>
        </w:rPr>
        <w:t xml:space="preserve"> ∈ [2,16, 3,36]</w:t>
      </w:r>
      <w:r>
        <w:t xml:space="preserve"> dan </w:t>
      </w:r>
      <w:r>
        <w:rPr>
          <w:rFonts w:ascii="Cambria Math" w:hAnsi="Cambria Math"/>
          <w:i/>
        </w:rPr>
        <w:t>K</w:t>
      </w:r>
      <w:r>
        <w:rPr>
          <w:rFonts w:ascii="Cambria Math" w:hAnsi="Cambria Math"/>
          <w:i/>
          <w:vertAlign w:val="subscript"/>
        </w:rPr>
        <w:t>i</w:t>
      </w:r>
      <w:r>
        <w:rPr>
          <w:rFonts w:ascii="Cambria Math" w:hAnsi="Cambria Math"/>
        </w:rPr>
        <w:t xml:space="preserve"> ∈ [3,0368, 14,144]</w:t>
      </w:r>
      <w:r>
        <w:t xml:space="preserve">. Rentang tersebut diperlakukan sebagai rentang gain </w:t>
      </w:r>
      <w:r>
        <w:rPr>
          <w:i/>
        </w:rPr>
        <w:t>admissible</w:t>
      </w:r>
      <w:r>
        <w:t xml:space="preserve"> yang dibekukan dari label pembelajaran final, bukan sebagai jaminan kestabilan fisik universal.</w:t>
      </w:r>
    </w:p>
    <w:p>
      <w:pPr>
        <w:pStyle w:val="FirstParagraph"/>
        <w:spacing w:before="0" w:after="0"/>
        <w:ind w:left="425" w:hanging="283"/>
        <w:rPr>
          <w:lang w:val="nb-NO"/>
        </w:rPr>
      </w:pPr>
      <w:r>
        <w:t xml:space="preserve">6. </w:t>
      </w:r>
      <w:r>
        <w:t xml:space="preserve">Jendela input model menggunakan empat fitur, yaitu deviasi frekuensi, daya mekanik, daya elektrik, dan daya beban buangan. Dataset akhir terdiri atas 17.600 </w:t>
      </w:r>
      <w:r>
        <w:rPr>
          <w:i/>
        </w:rPr>
        <w:t>window</w:t>
      </w:r>
      <w:r>
        <w:t xml:space="preserve"> dengan 11 titik observasi per </w:t>
      </w:r>
      <w:r>
        <w:rPr>
          <w:i/>
        </w:rPr>
        <w:t>window</w:t>
      </w:r>
      <w:r>
        <w:t xml:space="preserve"> pada frekuensi observasi 20 Hz.</w:t>
      </w:r>
    </w:p>
    <w:p>
      <w:pPr>
        <w:pStyle w:val="FirstParagraph"/>
        <w:spacing w:before="0" w:after="0"/>
        <w:ind w:left="425" w:hanging="283"/>
        <w:rPr>
          <w:lang w:val="nb-NO"/>
        </w:rPr>
      </w:pPr>
      <w:r>
        <w:t xml:space="preserve">7. </w:t>
      </w:r>
      <w:r>
        <w:t xml:space="preserve">Pemisahan dataset dilakukan berdasarkan keluarga dinamik untuk mencegah kebocoran informasi. Tujuh keluarga digunakan untuk pelatihan, dua untuk validasi, dan dua untuk pengujian, dengan jumlah 11.200/3.200/3.200 </w:t>
      </w:r>
      <w:r>
        <w:rPr>
          <w:i/>
        </w:rPr>
        <w:t>window</w:t>
      </w:r>
      <w:r>
        <w:t>. Tidak digunakan pemisahan acak pada tingkat baris.</w:t>
      </w:r>
    </w:p>
    <w:p>
      <w:pPr>
        <w:pStyle w:val="FirstParagraph"/>
        <w:spacing w:before="0" w:after="0"/>
        <w:ind w:left="425" w:hanging="283"/>
        <w:rPr>
          <w:lang w:val="nb-NO"/>
        </w:rPr>
      </w:pPr>
      <w:r>
        <w:t xml:space="preserve">8. </w:t>
      </w:r>
      <w:r>
        <w:t>Regime gain G3 tidak memiliki keluarga uji independen pada pembagian data akhir. Pengujian primer independen berlaku pada keluarga G1 dan G2, sedangkan evaluasi G3 hanya digunakan sebagai diagnostik dalam distribusi dan tidak menjadi dasar klaim generalisasi independen.</w:t>
      </w:r>
    </w:p>
    <w:p>
      <w:pPr>
        <w:pStyle w:val="FirstParagraph"/>
        <w:spacing w:before="0" w:after="0"/>
        <w:ind w:left="425" w:hanging="283"/>
        <w:rPr>
          <w:lang w:val="nb-NO"/>
        </w:rPr>
      </w:pPr>
      <w:r>
        <w:t xml:space="preserve">9. </w:t>
      </w:r>
      <w:r>
        <w:t xml:space="preserve">Evaluasi </w:t>
      </w:r>
      <w:r>
        <w:rPr>
          <w:i/>
        </w:rPr>
        <w:t>closed-loop</w:t>
      </w:r>
      <w:r>
        <w:t xml:space="preserve"> akhir menggunakan empat skenario deterministik yang ditetapkan sebelum hasil diketahui. Masing-masing skenario dijalankan dengan PI gain tetap, LSTM–PI, dan QLSTM–PI sehingga diperoleh 12 </w:t>
      </w:r>
      <w:r>
        <w:rPr>
          <w:i/>
        </w:rPr>
        <w:t>run</w:t>
      </w:r>
      <w:r>
        <w:t xml:space="preserve">. CL01 dan CL02 digunakan sebagai dua keluarga dinamik primer, CL03 sebagai </w:t>
      </w:r>
      <w:r>
        <w:rPr>
          <w:i/>
        </w:rPr>
        <w:t>boundary stress</w:t>
      </w:r>
      <w:r>
        <w:t>, dan CL04 sebagai diagnostik G3 dalam distribusi.</w:t>
      </w:r>
    </w:p>
    <w:p>
      <w:pPr>
        <w:pStyle w:val="FirstParagraph"/>
        <w:spacing w:before="0" w:after="0"/>
        <w:ind w:left="425" w:hanging="283"/>
        <w:rPr>
          <w:lang w:val="nb-NO"/>
        </w:rPr>
      </w:pPr>
      <w:r>
        <w:t xml:space="preserve">10. </w:t>
      </w:r>
      <w:r>
        <w:t xml:space="preserve">Metrik primer evaluasi </w:t>
      </w:r>
      <w:r>
        <w:rPr>
          <w:i/>
        </w:rPr>
        <w:t>closed-loop</w:t>
      </w:r>
      <w:r>
        <w:t xml:space="preserve"> adalah RMSE deviasi frekuensi. Simpangan frekuensi maksimum, RoCoF, waktu tunak, aktivitas beban buangan, perilaku gain, dan beban komputasi digunakan sebagai indikator pendukung. Karena hanya tersedia dua keluarga dinamik primer independen, penelitian tidak melakukan uji signifikansi statistik pada tingkat keluarga.</w:t>
      </w:r>
    </w:p>
    <w:p>
      <w:pPr>
        <w:pStyle w:val="FirstParagraph"/>
        <w:spacing w:before="0" w:after="0"/>
        <w:ind w:left="425" w:hanging="283"/>
        <w:rPr>
          <w:lang w:val="nb-NO"/>
        </w:rPr>
      </w:pPr>
      <w:r>
        <w:t xml:space="preserve">11. </w:t>
      </w:r>
      <w:r>
        <w:t xml:space="preserve">Simulasi Monte Carlo 50 </w:t>
      </w:r>
      <w:r>
        <w:rPr>
          <w:i/>
        </w:rPr>
        <w:t>run</w:t>
      </w:r>
      <w:r>
        <w:t xml:space="preserve"> tidak menjadi bagian dari evaluasi primer. Model dan skenario evaluasi akhir bersifat deterministik dan penelitian tidak menetapkan distribusi probabilistik ketidakpastian plant maupun gangguan. Analisis Monte Carlo ditempatkan sebagai ruang pengembangan penelitian selanjutnya.</w:t>
      </w:r>
    </w:p>
    <w:p>
      <w:pPr>
        <w:pStyle w:val="FirstParagraph"/>
        <w:spacing w:before="0" w:after="0"/>
        <w:ind w:left="425" w:hanging="283"/>
        <w:rPr>
          <w:lang w:val="nb-NO"/>
        </w:rPr>
      </w:pPr>
      <w:r>
        <w:t xml:space="preserve">12. </w:t>
      </w:r>
      <w:r>
        <w:t xml:space="preserve">Implementasi QLSTM menggunakan simulasi kuantum dalam kerangka </w:t>
      </w:r>
      <w:r>
        <w:rPr>
          <w:i/>
        </w:rPr>
        <w:t>hybrid quantum–classical</w:t>
      </w:r>
      <w:r>
        <w:t xml:space="preserve"> pada lingkungan CPU/PennyLane, bukan perangkat keras kuantum. Penelitian merupakan </w:t>
      </w:r>
      <w:r>
        <w:rPr>
          <w:i/>
        </w:rPr>
        <w:t>proof of concept</w:t>
      </w:r>
      <w:r>
        <w:t xml:space="preserve"> berbasis simulasi dan tidak mengklaim validasi </w:t>
      </w:r>
      <w:r>
        <w:rPr>
          <w:i/>
        </w:rPr>
        <w:t>hardware-in-the-loop</w:t>
      </w:r>
      <w:r>
        <w:t xml:space="preserve"> atau implementasi waktu nyata pada plant fisik.</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pPr>
        <w:pStyle w:val="FirstParagraph"/>
        <w:spacing w:before="0" w:after="0"/>
        <w:ind w:firstLine="709"/>
        <w:rPr>
          <w:lang w:val="nb-NO"/>
        </w:rPr>
      </w:pPr>
      <w:r>
        <w:t xml:space="preserve">Orisinalitas penelitian ditempatkan pada integrasi metodologis QLSTM sebagai penjadwal gain PI adaptif untuk ELC PLTMH terisolasi, bukan pada klaim bahwa QLSTM merupakan pengendali langsung atau algoritma optimasi gain. QLSTM menerima jendela kondisi operasi dan menghasilkan estimasi </w:t>
      </w:r>
      <w:r>
        <w:rPr>
          <w:rFonts w:ascii="Cambria Math" w:hAnsi="Cambria Math"/>
          <w:i/>
        </w:rPr>
        <w:t>K</w:t>
      </w:r>
      <w:r>
        <w:rPr>
          <w:rFonts w:ascii="Cambria Math" w:hAnsi="Cambria Math"/>
          <w:i/>
          <w:vertAlign w:val="subscript"/>
        </w:rPr>
        <w:t>p</w:t>
      </w:r>
      <w:r>
        <w:t xml:space="preserve"> dan </w:t>
      </w:r>
      <w:r>
        <w:rPr>
          <w:rFonts w:ascii="Cambria Math" w:hAnsi="Cambria Math"/>
          <w:i/>
        </w:rPr>
        <w:t>K</w:t>
      </w:r>
      <w:r>
        <w:rPr>
          <w:rFonts w:ascii="Cambria Math" w:hAnsi="Cambria Math"/>
          <w:i/>
          <w:vertAlign w:val="subscript"/>
        </w:rPr>
        <w:t>i</w:t>
      </w:r>
      <w:r>
        <w:t>, sedangkan aksi kendali terhadap ELC tetap dibentuk oleh pengendali PI.</w:t>
      </w:r>
    </w:p>
    <w:p>
      <w:pPr>
        <w:pStyle w:val="FirstParagraph"/>
        <w:spacing w:before="0" w:after="0"/>
        <w:ind w:firstLine="709"/>
        <w:rPr>
          <w:lang w:val="nb-NO"/>
        </w:rPr>
      </w:pPr>
      <w:r>
        <w:t xml:space="preserve">Aspek orisinalitas pertama terletak pada pemisahan yang tegas antara proses pembentukan target dan proses penjadwalan gain. Target </w:t>
      </w:r>
      <w:r>
        <w:rPr>
          <w:rFonts w:ascii="Cambria Math" w:hAnsi="Cambria Math"/>
          <w:i/>
        </w:rPr>
        <w:t>K</w:t>
      </w:r>
      <w:r>
        <w:rPr>
          <w:rFonts w:ascii="Cambria Math" w:hAnsi="Cambria Math"/>
          <w:i/>
          <w:vertAlign w:val="subscript"/>
        </w:rPr>
        <w:t>p</w:t>
      </w:r>
      <w:r>
        <w:rPr>
          <w:rFonts w:ascii="Cambria Math" w:hAnsi="Cambria Math"/>
          <w:vertAlign w:val="superscript"/>
        </w:rPr>
        <w:t>*</w:t>
      </w:r>
      <w:r>
        <w:t xml:space="preserve"> dan </w:t>
      </w:r>
      <w:r>
        <w:rPr>
          <w:rFonts w:ascii="Cambria Math" w:hAnsi="Cambria Math"/>
          <w:i/>
        </w:rPr>
        <w:t>K</w:t>
      </w:r>
      <w:r>
        <w:rPr>
          <w:rFonts w:ascii="Cambria Math" w:hAnsi="Cambria Math"/>
          <w:i/>
          <w:vertAlign w:val="subscript"/>
        </w:rPr>
        <w:t>i</w:t>
      </w:r>
      <w:r>
        <w:rPr>
          <w:rFonts w:ascii="Cambria Math" w:hAnsi="Cambria Math"/>
          <w:vertAlign w:val="superscript"/>
        </w:rPr>
        <w:t>*</w:t>
      </w:r>
      <w:r>
        <w:t xml:space="preserve"> dibentuk secara luring melalui pencarian grid bertahap pada model simulasi. LSTM dan QLSTM kemudian dilatih menggunakan target pembelajaran yang sama, sehingga perbandingan kedua model tidak bergantung pada perbedaan sumber label.</w:t>
      </w:r>
    </w:p>
    <w:p>
      <w:pPr>
        <w:pStyle w:val="FirstParagraph"/>
        <w:spacing w:before="0" w:after="0"/>
        <w:ind w:firstLine="709"/>
        <w:rPr>
          <w:lang w:val="nb-NO"/>
        </w:rPr>
      </w:pPr>
      <w:r>
        <w:t>Aspek kedua adalah penggunaan data temporal dengan pemisahan berdasarkan keluarga dinamik. Keluarga pelatihan, validasi, dan pengujian dipisahkan untuk mencegah kebocoran informasi antar keluarga maupun antar skenario. Evaluasi primer independen dilakukan pada keluarga dinamik pengujian dari regime G1 dan G2. Regime G3 tidak mempunyai keluarga pengujian independen pada pembagian data akhir sehingga evaluasinya hanya ditempatkan sebagai diagnostik dalam distribusi dan tidak digunakan untuk mengklaim generalisasi G3 independen.</w:t>
      </w:r>
    </w:p>
    <w:p>
      <w:pPr>
        <w:pStyle w:val="FirstParagraph"/>
        <w:spacing w:before="0" w:after="0"/>
        <w:ind w:firstLine="709"/>
        <w:rPr>
          <w:lang w:val="nb-NO"/>
        </w:rPr>
      </w:pPr>
      <w:r>
        <w:t xml:space="preserve">Aspek ketiga terletak pada penerapan keluaran LSTM dan QLSTM melalui kebijakan scheduler yang identik. Setelah prediksi dikembalikan ke skala fisik, nilai gain diperiksa keterhinggaannya, dibatasi pada </w:t>
      </w:r>
      <w:r>
        <w:rPr>
          <w:i/>
        </w:rPr>
        <w:t>envelope</w:t>
      </w:r>
      <w:r>
        <w:t xml:space="preserve"> gain </w:t>
      </w:r>
      <w:r>
        <w:rPr>
          <w:i/>
        </w:rPr>
        <w:t>admissible</w:t>
      </w:r>
      <w:r>
        <w:t xml:space="preserve">, kemudian dikenai pembatasan laju perubahan gain sebelum diterapkan pada PI. Observasi temporal dilakukan pada 20 Hz dan pembaruan gain dilakukan pada 10 Hz. Struktur yang sama digunakan untuk kedua model agar perbedaan respons </w:t>
      </w:r>
      <w:r>
        <w:rPr>
          <w:i/>
        </w:rPr>
        <w:t>closed-loop</w:t>
      </w:r>
      <w:r>
        <w:t xml:space="preserve"> tidak berasal dari aturan penerapan gain yang berbeda.</w:t>
      </w:r>
    </w:p>
    <w:p>
      <w:pPr>
        <w:pStyle w:val="FirstParagraph"/>
        <w:spacing w:before="0" w:after="0"/>
        <w:ind w:firstLine="709"/>
        <w:rPr>
          <w:lang w:val="nb-NO"/>
        </w:rPr>
      </w:pPr>
      <w:r>
        <w:t xml:space="preserve">Aspek keempat adalah evaluasi yang menghubungkan kinerja tingkat model dengan kinerja tingkat </w:t>
      </w:r>
      <w:r>
        <w:rPr>
          <w:i/>
        </w:rPr>
        <w:t>closed-loop</w:t>
      </w:r>
      <w:r>
        <w:t xml:space="preserve">. PI gain tetap, LSTM–PI, dan QLSTM–PI diuji pada skenario deterministik yang telah ditetapkan sebelum hasil diketahui. Evaluasi tidak hanya mempertimbangkan RMSE deviasi frekuensi, tetapi juga indikator dinamik, perilaku scheduler, aktivitas beban buangan, serta beban komputasi. Pendekatan ini memungkinkan kemampuan dan keterbatasan QLSTM dinilai secara empiris tanpa menjadikan superioritas QLSTM, signifikansi statistik, maupun </w:t>
      </w:r>
      <w:r>
        <w:rPr>
          <w:i/>
        </w:rPr>
        <w:t>quantum advantage</w:t>
      </w:r>
      <w:r>
        <w:t xml:space="preserve"> sebagai asumsi penelitian.</w:t>
      </w:r>
    </w:p>
    <w:p w14:paraId="0000001A" w14:textId="22B1FE35" w:rsidR="00547661" w:rsidRPr="007B1718" w:rsidRDefault="00665C9A" w:rsidP="007B1718">
      <w:pPr>
        <w:pStyle w:val="Heading1"/>
        <w:pageBreakBefore/>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pPr>
        <w:pStyle w:val="FirstParagraph"/>
      </w:pPr>
      <w:r>
        <w:t xml:space="preserve">Pada implementasi final, QLSTM menerima urutan temporal dengan empat fitur pada</w:t>
      </w:r>
      <w:r>
        <w:t xml:space="preserve"> </w:t>
      </w:r>
      <w:r>
        <w:t xml:space="preserve">setiap titik observasi,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Urutan terdiri atas 11 titik observasi dengan frekuensi observasi 20 Hz sehingga</w:t>
      </w:r>
      <w:r>
        <w:t xml:space="preserve"> </w:t>
      </w:r>
      <w:r>
        <w:t xml:space="preserve">mencakup rentang waktu 0,5 s. Empat fitur tersebut adalah deviasi frekuensi,</w:t>
      </w:r>
      <w:r>
        <w:t xml:space="preserve"> </w:t>
      </w:r>
      <w:r>
        <w:t xml:space="preserve">daya mekanik, daya elektrik, dan daya beban buangan. Vektor masukan yang sama</w:t>
      </w:r>
      <w:r>
        <w:t xml:space="preserve"> </w:t>
      </w:r>
      <w:r>
        <w:t xml:space="preserve">digunakan pada LSTM dan QLSTM agar perbandingan kedua model tidak dipengaruhi</w:t>
      </w:r>
      <w:r>
        <w:t xml:space="preserve"> </w:t>
      </w:r>
      <w:r>
        <w:t xml:space="preserve">oleh perbedaan informasi masukan.</w:t>
      </w:r>
    </w:p>
    <w:p>
      <w:pPr>
        <w:pStyle w:val="BodyText"/>
      </w:pPr>
      <w:r>
        <w:t xml:space="preserve">Arsitektur QLSTM final menggunakan empat</w:t>
      </w:r>
      <w:r>
        <w:t xml:space="preserve"> </w:t>
      </w:r>
      <w:r>
        <w:rPr>
          <w:iCs/>
          <w:i/>
        </w:rPr>
        <w:t xml:space="preserve">qubit</w:t>
      </w:r>
      <w:r>
        <w:t xml:space="preserve">, kedalaman VQC satu lapisan,</w:t>
      </w:r>
      <w:r>
        <w:t xml:space="preserve"> </w:t>
      </w:r>
      <w:r>
        <w:t xml:space="preserve">dan keadaan tersembunyi berdimensi empat. Keadaan tersembunyi terakhir</w:t>
      </w:r>
      <w:r>
        <w:t xml:space="preserve"> </w:t>
      </w:r>
      <w:r>
        <w:t xml:space="preserve">diteruskan ke kepala regresi klasik dengan 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Kepala regresi menghasilkan dua keluaran pada ruang target yang telah</w:t>
      </w:r>
      <w:r>
        <w:t xml:space="preserve"> </w:t>
      </w:r>
      <w:r>
        <w:t xml:space="preserve">distandardisasi. Dengan</w:t>
      </w:r>
      <w:r>
        <w:t xml:space="preserve"> </w:t>
      </w:r>
      <m:oMath>
        <m:sSub>
          <m:e>
            <m:r>
              <m:rPr>
                <m:sty m:val="b"/>
              </m:rPr>
              <m:t>h</m:t>
            </m:r>
          </m:e>
          <m:sub>
            <m:r>
              <m:t>T</m:t>
            </m:r>
          </m:sub>
        </m:sSub>
      </m:oMath>
      <w:r>
        <w:t xml:space="preserve"> </w:t>
      </w:r>
      <w:r>
        <w:t xml:space="preserve">sebagai keadaan tersembunyi terakhir,</w:t>
      </w:r>
      <w:r>
        <w:t xml:space="preserve"> </w:t>
      </w:r>
      <w:r>
        <w:t xml:space="preserve">keluaran regresi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z</m:t>
                    </m:r>
                  </m:e>
                </m:acc>
                <m:r>
                  <m:rPr>
                    <m:sty m:val="p"/>
                  </m:rPr>
                  <m:t>=</m:t>
                </m:r>
                <m:sSub>
                  <m:e>
                    <m:r>
                      <m:t>g</m:t>
                    </m:r>
                  </m:e>
                  <m:sub>
                    <m:r>
                      <m:rPr>
                        <m:sty m:val="b"/>
                      </m:rPr>
                      <m:t>ϕ</m:t>
                    </m:r>
                  </m:sub>
                </m:sSub>
                <m:d>
                  <m:dPr>
                    <m:begChr m:val="("/>
                    <m:endChr m:val=")"/>
                    <m:sepChr m:val=""/>
                    <m:grow/>
                  </m:dPr>
                  <m:e>
                    <m:sSub>
                      <m:e>
                        <m:r>
                          <m:rPr>
                            <m:sty m:val="b"/>
                          </m:rPr>
                          <m:t>h</m:t>
                        </m:r>
                      </m:e>
                      <m:sub>
                        <m:r>
                          <m:t>T</m:t>
                        </m:r>
                      </m:sub>
                    </m:sSub>
                  </m:e>
                </m:d>
                <m:r>
                  <m:rPr>
                    <m:sty m:val="p"/>
                  </m:rPr>
                  <m:t>=</m:t>
                </m:r>
                <m:d>
                  <m:dPr>
                    <m:begChr m:val="["/>
                    <m:endChr m:val="]"/>
                    <m:sepChr m:val=""/>
                    <m:grow/>
                  </m:dPr>
                  <m:e>
                    <m:m>
                      <m:mPr>
                        <m:baseJc m:val="center"/>
                        <m:plcHide m:val="on"/>
                        <m:mcs>
                          <m:mc>
                            <m:mcPr>
                              <m:mcJc m:val="center"/>
                              <m:count m:val="1"/>
                            </m:mcPr>
                          </m:mc>
                        </m:mcs>
                      </m:mPr>
                      <m:mr>
                        <m:e>
                          <m:sSub>
                            <m:e>
                              <m:acc>
                                <m:accPr>
                                  <m:chr m:val="̂"/>
                                </m:accPr>
                                <m:e>
                                  <m:r>
                                    <m:t>z</m:t>
                                  </m:r>
                                </m:e>
                              </m:acc>
                            </m:e>
                            <m:sub>
                              <m:sSub>
                                <m:e>
                                  <m:r>
                                    <m:t>K</m:t>
                                  </m:r>
                                </m:e>
                                <m:sub>
                                  <m:r>
                                    <m:t>p</m:t>
                                  </m:r>
                                </m:sub>
                              </m:sSub>
                            </m:sub>
                          </m:sSub>
                        </m:e>
                      </m:mr>
                      <m:mr>
                        <m:e>
                          <m:sSub>
                            <m:e>
                              <m:acc>
                                <m:accPr>
                                  <m:chr m:val="̂"/>
                                </m:accPr>
                                <m:e>
                                  <m:r>
                                    <m:t>z</m:t>
                                  </m:r>
                                </m:e>
                              </m:acc>
                            </m:e>
                            <m:sub>
                              <m:sSub>
                                <m:e>
                                  <m:r>
                                    <m:t>K</m:t>
                                  </m:r>
                                </m:e>
                                <m:sub>
                                  <m:r>
                                    <m:t>i</m:t>
                                  </m:r>
                                </m:sub>
                              </m:sSub>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(2.19)</w:t>
            </w:r>
          </w:p>
        </w:tc>
      </w:tr>
    </w:tbl>
    <w:p>
      <w:pPr>
        <w:pStyle w:val="BodyText"/>
      </w:pPr>
      <w:r>
        <w:t xml:space="preserve">dengan</w:t>
      </w:r>
      <w:r>
        <w:t xml:space="preserve"> </w:t>
      </w:r>
      <m:oMath>
        <m:sSub>
          <m:e>
            <m:r>
              <m:t>g</m:t>
            </m:r>
          </m:e>
          <m:sub>
            <m:r>
              <m:rPr>
                <m:sty m:val="b"/>
              </m:rPr>
              <m:t>ϕ</m:t>
            </m:r>
          </m:sub>
        </m:sSub>
        <m:d>
          <m:dPr>
            <m:begChr m:val="("/>
            <m:endChr m:val=")"/>
            <m:sepChr m:val=""/>
            <m:grow/>
          </m:dPr>
          <m:e>
            <m:r>
              <m:rPr>
                <m:sty m:val="p"/>
              </m:rPr>
              <m:t>⋅</m:t>
            </m:r>
          </m:e>
        </m:d>
      </m:oMath>
      <w:r>
        <w:t xml:space="preserve"> </w:t>
      </w:r>
      <w:r>
        <w:t xml:space="preserve">merupakan kepala regresi klasik.</w:t>
      </w:r>
      <w:r>
        <w:t xml:space="preserve"> </w:t>
      </w:r>
      <w:r>
        <w:t xml:space="preserve">Tidak digunakan fungsi sigmoid pada kepala keluaran untuk membatasi</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distandardisasi menggunakan statistik data latih.</w:t>
      </w:r>
      <w:r>
        <w:t xml:space="preserve"> </w:t>
      </w:r>
      <w:r>
        <w:t xml:space="preserve">Keluaran pada Persamaan (2.19) dikembalikan ke skala fisik melalui transformasi</w:t>
      </w:r>
      <w:r>
        <w:t xml:space="preserve"> </w:t>
      </w:r>
      <w:r>
        <w:t xml:space="preserve">balik</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acc>
                  <m:accPr>
                    <m:chr m:val="̂"/>
                  </m:accPr>
                  <m:e>
                    <m:r>
                      <m:rPr>
                        <m:sty m:val="b"/>
                      </m:rPr>
                      <m:t>θ</m:t>
                    </m:r>
                  </m:e>
                </m:acc>
                <m:r>
                  <m:rPr>
                    <m:sty m:val="p"/>
                  </m:rPr>
                  <m:t>=</m:t>
                </m:r>
                <m:sSub>
                  <m:e>
                    <m:r>
                      <m:rPr>
                        <m:sty m:val="b"/>
                      </m:rPr>
                      <m:t>μ</m:t>
                    </m:r>
                  </m:e>
                  <m:sub>
                    <m:r>
                      <m:t>y</m:t>
                    </m:r>
                  </m:sub>
                </m:sSub>
                <m:r>
                  <m:rPr>
                    <m:sty m:val="p"/>
                  </m:rPr>
                  <m:t>+</m:t>
                </m:r>
                <m:sSub>
                  <m:e>
                    <m:r>
                      <m:rPr>
                        <m:sty m:val="b"/>
                      </m:rPr>
                      <m:t>σ</m:t>
                    </m:r>
                  </m:e>
                  <m:sub>
                    <m:r>
                      <m:t>y</m:t>
                    </m:r>
                  </m:sub>
                </m:sSub>
                <m:r>
                  <m:rPr>
                    <m:sty m:val="p"/>
                  </m:rPr>
                  <m:t>⊙</m:t>
                </m:r>
                <m:acc>
                  <m:accPr>
                    <m:chr m:val="̂"/>
                  </m:accPr>
                  <m:e>
                    <m:r>
                      <m:rPr>
                        <m:sty m:val="b"/>
                      </m:rPr>
                      <m:t>z</m:t>
                    </m:r>
                  </m:e>
                </m:acc>
                <m:r>
                  <m:rPr>
                    <m:sty m:val="p"/>
                  </m:rPr>
                  <m:t>=</m:t>
                </m:r>
                <m:d>
                  <m:dPr>
                    <m:begChr m:val="["/>
                    <m:endChr m:val="]"/>
                    <m:sepChr m:val=""/>
                    <m:grow/>
                  </m:dPr>
                  <m:e>
                    <m:m>
                      <m:mPr>
                        <m:baseJc m:val="center"/>
                        <m:plcHide m:val="on"/>
                        <m:mcs>
                          <m:mc>
                            <m:mcPr>
                              <m:mcJc m:val="center"/>
                              <m:count m:val="1"/>
                            </m:mcPr>
                          </m:mc>
                        </m:mcs>
                      </m:mPr>
                      <m:mr>
                        <m:e>
                          <m:sSub>
                            <m:e>
                              <m:acc>
                                <m:accPr>
                                  <m:chr m:val="̂"/>
                                </m:accPr>
                                <m:e>
                                  <m:r>
                                    <m:t>K</m:t>
                                  </m:r>
                                </m:e>
                              </m:acc>
                            </m:e>
                            <m:sub>
                              <m:r>
                                <m:t>p</m:t>
                              </m:r>
                            </m:sub>
                          </m:sSub>
                        </m:e>
                      </m:mr>
                      <m:mr>
                        <m:e>
                          <m:sSub>
                            <m:e>
                              <m:acc>
                                <m:accPr>
                                  <m:chr m:val="̂"/>
                                </m:accPr>
                                <m:e>
                                  <m:r>
                                    <m:t>K</m:t>
                                  </m:r>
                                </m:e>
                              </m:acc>
                            </m:e>
                            <m:sub>
                              <m:r>
                                <m:t>i</m:t>
                              </m:r>
                            </m:sub>
                          </m:sSub>
                        </m:e>
                      </m:mr>
                    </m:m>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(2.20)</w:t>
            </w:r>
          </w:p>
        </w:tc>
      </w:tr>
    </w:tbl>
    <w:p>
      <w:pPr>
        <w:pStyle w:val="BodyText"/>
      </w:pPr>
      <w:r>
        <w:t xml:space="preserve">dengan</w:t>
      </w:r>
      <w:r>
        <w:t xml:space="preserve"> </w:t>
      </w:r>
      <m:oMath>
        <m:sSub>
          <m:e>
            <m:r>
              <m:rPr>
                <m:sty m:val="b"/>
              </m:rPr>
              <m:t>μ</m:t>
            </m:r>
          </m:e>
          <m:sub>
            <m:r>
              <m:t>y</m:t>
            </m:r>
          </m:sub>
        </m:sSub>
      </m:oMath>
      <w:r>
        <w:t xml:space="preserve"> </w:t>
      </w:r>
      <w:r>
        <w:t xml:space="preserve">dan</w:t>
      </w:r>
      <w:r>
        <w:t xml:space="preserve"> </w:t>
      </w:r>
      <m:oMath>
        <m:sSub>
          <m:e>
            <m:r>
              <m:rPr>
                <m:sty m:val="b"/>
              </m:rPr>
              <m:t>σ</m:t>
            </m:r>
          </m:e>
          <m:sub>
            <m:r>
              <m:t>y</m:t>
            </m:r>
          </m:sub>
        </m:sSub>
      </m:oMath>
      <w:r>
        <w:t xml:space="preserve"> </w:t>
      </w:r>
      <w:r>
        <w:t xml:space="preserve">masing-masing</w:t>
      </w:r>
      <w:r>
        <w:t xml:space="preserve"> </w:t>
      </w:r>
      <w:r>
        <w:t xml:space="preserve">merupakan vektor rerata dan simpangan baku target yang dihitung hanya dari data</w:t>
      </w:r>
      <w:r>
        <w:t xml:space="preserve"> </w:t>
      </w:r>
      <w:r>
        <w:t xml:space="preserve">latih, sedangkan</w:t>
      </w:r>
      <w:r>
        <w:t xml:space="preserve"> </w:t>
      </w:r>
      <m:oMath>
        <m:r>
          <m:rPr>
            <m:sty m:val="p"/>
          </m:rPr>
          <m:t>⊙</m:t>
        </m:r>
      </m:oMath>
      <w:r>
        <w:t xml:space="preserve"> </w:t>
      </w:r>
      <w:r>
        <w:t xml:space="preserve">menyatakan perkalian elemen per elemen. Persamaan</w:t>
      </w:r>
      <w:r>
        <w:t xml:space="preserve"> </w:t>
      </w:r>
      <w:r>
        <w:t xml:space="preserve">(2.20) menghasilkan estimasi gain dalam satuan fisik, tetapi belum merupakan</w:t>
      </w:r>
      <w:r>
        <w:t xml:space="preserve"> </w:t>
      </w:r>
      <w:r>
        <w:t xml:space="preserve">gain yang langsung diterapkan pada pengendali.</w:t>
      </w:r>
    </w:p>
    <w:p>
      <w:pPr>
        <w:pStyle w:val="BodyText"/>
      </w:pPr>
      <w:r>
        <w:t xml:space="preserve">Fungsi rugi pelatihan menggunakan</w:t>
      </w:r>
      <w:r>
        <w:t xml:space="preserve"> </w:t>
      </w:r>
      <w:r>
        <w:rPr>
          <w:iCs/>
          <w:i/>
        </w:rPr>
        <w:t xml:space="preserve">mean squared error</w:t>
      </w:r>
      <w:r>
        <w:t xml:space="preserve"> </w:t>
      </w:r>
      <w:r>
        <w:t xml:space="preserve">(MSE) pada dua target</w:t>
      </w:r>
      <w:r>
        <w:t xml:space="preserve"> </w:t>
      </w:r>
      <w:r>
        <w:t xml:space="preserve">yang telah distandardisasi,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scr m:val="script"/>
                      </m:rPr>
                      <m:t>L</m:t>
                    </m:r>
                  </m:e>
                  <m:sub>
                    <m:r>
                      <m:rPr>
                        <m:sty m:val="p"/>
                      </m:rPr>
                      <m:t>M</m:t>
                    </m:r>
                    <m:r>
                      <m:rPr>
                        <m:sty m:val="p"/>
                      </m:rPr>
                      <m:t>S</m:t>
                    </m:r>
                    <m:r>
                      <m:rPr>
                        <m:sty m:val="p"/>
                      </m:rPr>
                      <m:t>E</m:t>
                    </m:r>
                  </m:sub>
                </m:sSub>
                <m:r>
                  <m:rPr>
                    <m:sty m:val="p"/>
                  </m:rPr>
                  <m:t>=</m:t>
                </m:r>
                <m:f>
                  <m:fPr>
                    <m:type m:val="bar"/>
                  </m:fPr>
                  <m:num>
                    <m:r>
                      <m:t>1</m:t>
                    </m:r>
                  </m:num>
                  <m:den>
                    <m:r>
                      <m:t>N</m:t>
                    </m:r>
                    <m:sSub>
                      <m:e>
                        <m:r>
                          <m:t>d</m:t>
                        </m:r>
                      </m:e>
                      <m:sub>
                        <m:r>
                          <m:t>y</m:t>
                        </m:r>
                      </m:sub>
                    </m:sSub>
                  </m:den>
                </m:f>
                <m:nary>
                  <m:naryPr>
                    <m:chr m:val="∑"/>
                    <m:limLoc m:val="undOvr"/>
                    <m:subHide m:val="off"/>
                    <m:supHide m:val="off"/>
                  </m:naryPr>
                  <m:sub>
                    <m:r>
                      <m:t>j</m:t>
                    </m:r>
                    <m:r>
                      <m:rPr>
                        <m:sty m:val="p"/>
                      </m:rPr>
                      <m:t>=</m:t>
                    </m:r>
                    <m:r>
                      <m:t>1</m:t>
                    </m:r>
                  </m:sub>
                  <m:sup>
                    <m:r>
                      <m:t>N</m:t>
                    </m:r>
                  </m:sup>
                  <m:e>
                    <m:sSubSup>
                      <m:e>
                        <m:d>
                          <m:dPr>
                            <m:begChr m:val="∥"/>
                            <m:endChr m:val="∥"/>
                            <m:sepChr m:val=""/>
                            <m:grow/>
                          </m:dPr>
                          <m:e>
                            <m:sSub>
                              <m:e>
                                <m:r>
                                  <m:rPr>
                                    <m:sty m:val="b"/>
                                  </m:rPr>
                                  <m:t>z</m:t>
                                </m:r>
                              </m:e>
                              <m:sub>
                                <m:r>
                                  <m:t>j</m:t>
                                </m:r>
                              </m:sub>
                            </m:sSub>
                            <m:r>
                              <m:rPr>
                                <m:sty m:val="p"/>
                              </m:rPr>
                              <m:t>−</m:t>
                            </m:r>
                            <m:sSub>
                              <m:e>
                                <m:acc>
                                  <m:accPr>
                                    <m:chr m:val="̂"/>
                                  </m:accPr>
                                  <m:e>
                                    <m:r>
                                      <m:rPr>
                                        <m:sty m:val="b"/>
                                      </m:rPr>
                                      <m:t>z</m:t>
                                    </m:r>
                                  </m:e>
                                </m:acc>
                              </m:e>
                              <m:sub>
                                <m:r>
                                  <m:t>j</m:t>
                                </m:r>
                              </m:sub>
                            </m:sSub>
                          </m:e>
                        </m:d>
                      </m:e>
                      <m:sub>
                        <m:r>
                          <m:t>2</m:t>
                        </m:r>
                      </m:sub>
                      <m:sup>
                        <m:r>
                          <m:t>2</m:t>
                        </m:r>
                      </m:sup>
                    </m:sSubSup>
                  </m:e>
                </m:nary>
                <m:r>
                  <m:rPr>
                    <m:sty m:val="p"/>
                  </m:rPr>
                  <m:t>,</m:t>
                </m:r>
                <m:r>
                  <m:t>  </m:t>
                </m:r>
                <m:sSub>
                  <m:e>
                    <m:r>
                      <m:t>d</m:t>
                    </m:r>
                  </m:e>
                  <m:sub>
                    <m:r>
                      <m:t>y</m:t>
                    </m:r>
                  </m:sub>
                </m:sSub>
                <m:r>
                  <m:rPr>
                    <m:sty m:val="p"/>
                  </m:rPr>
                  <m:t>=</m:t>
                </m:r>
                <m:r>
                  <m:t>2</m:t>
                </m:r>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(2.21)</w:t>
            </w:r>
          </w:p>
        </w:tc>
      </w:tr>
    </w:tbl>
    <w:p>
      <w:pPr>
        <w:pStyle w:val="BodyText"/>
      </w:pPr>
      <w:r>
        <w:t xml:space="preserve">dengan</w:t>
      </w:r>
      <w:r>
        <w:t xml:space="preserve"> </w:t>
      </w:r>
      <m:oMath>
        <m:r>
          <m:t>N</m:t>
        </m:r>
      </m:oMath>
      <w:r>
        <w:t xml:space="preserve"> </w:t>
      </w:r>
      <w:r>
        <w:t xml:space="preserve">sebagai jumlah sampel pelatihan dan</w:t>
      </w:r>
      <w:r>
        <w:t xml:space="preserve"> </w:t>
      </w:r>
      <m:oMath>
        <m:sSub>
          <m:e>
            <m:r>
              <m:t>d</m:t>
            </m:r>
          </m:e>
          <m:sub>
            <m:r>
              <m:t>y</m:t>
            </m:r>
          </m:sub>
        </m:sSub>
        <m:r>
          <m:rPr>
            <m:sty m:val="p"/>
          </m:rPr>
          <m:t>=</m:t>
        </m:r>
        <m:r>
          <m:t>2</m:t>
        </m:r>
      </m:oMath>
      <w:r>
        <w:t xml:space="preserve"> </w:t>
      </w:r>
      <w:r>
        <w:t xml:space="preserve">sebagai jumlah komponen target. Faktor</w:t>
      </w:r>
      <w:r>
        <w:t xml:space="preserve"> </w:t>
      </w:r>
      <m:oMath>
        <m:r>
          <m:t>1</m:t>
        </m:r>
        <m:r>
          <m:rPr>
            <m:sty m:val="p"/>
          </m:rPr>
          <m:t>/</m:t>
        </m:r>
        <m:d>
          <m:dPr>
            <m:begChr m:val="("/>
            <m:endChr m:val=")"/>
            <m:sepChr m:val=""/>
            <m:grow/>
          </m:dPr>
          <m:e>
            <m:r>
              <m:t>N</m:t>
            </m:r>
            <m:sSub>
              <m:e>
                <m:r>
                  <m:t>d</m:t>
                </m:r>
              </m:e>
              <m:sub>
                <m:r>
                  <m:t>y</m:t>
                </m:r>
              </m:sub>
            </m:sSub>
          </m:e>
        </m:d>
      </m:oMath>
      <w:r>
        <w:t xml:space="preserve"> </w:t>
      </w:r>
      <w:r>
        <w:t xml:space="preserve">membuat Persamaan (2.21) identik dengan</w:t>
      </w:r>
      <w:r>
        <w:t xml:space="preserve"> </w:t>
      </w:r>
      <w:r>
        <w:rPr>
          <w:iCs/>
          <w:i/>
        </w:rPr>
        <w:t xml:space="preserve">mean squared error</w:t>
      </w:r>
      <w:r>
        <w:t xml:space="preserve"> </w:t>
      </w:r>
      <w:r>
        <w:t xml:space="preserve">yang dirata-ratakan terhadap seluruh elemen target, sesuai implementasi</w:t>
      </w:r>
      <w:r>
        <w:t xml:space="preserve"> </w:t>
      </w:r>
      <w:r>
        <w:rPr>
          <w:rStyle w:val="VerbatimChar"/>
        </w:rPr>
        <w:t xml:space="preserve">nn.MSELoss(reduction="mean")</w:t>
      </w:r>
      <w:r>
        <w:t xml:space="preserve">. Tidak digunakan pembobot</w:t>
      </w:r>
      <w:r>
        <w:t xml:space="preserve"> </w:t>
      </w:r>
      <m:oMath>
        <m:sSub>
          <m:e>
            <m:r>
              <m:t>w</m:t>
            </m:r>
          </m:e>
          <m:sub>
            <m:r>
              <m:t>p</m:t>
            </m:r>
          </m:sub>
        </m:sSub>
      </m:oMath>
      <w:r>
        <w:t xml:space="preserve"> </w:t>
      </w:r>
      <w:r>
        <w:t xml:space="preserve">atau</w:t>
      </w:r>
      <w:r>
        <w:t xml:space="preserve"> </w:t>
      </w:r>
      <m:oMath>
        <m:sSub>
          <m:e>
            <m:r>
              <m:t>w</m:t>
            </m:r>
          </m:e>
          <m:sub>
            <m:r>
              <m:t>i</m:t>
            </m:r>
          </m:sub>
        </m:sSub>
      </m:oMath>
      <w:r>
        <w:t xml:space="preserve"> </w:t>
      </w:r>
      <w:r>
        <w:t xml:space="preserve">pada fungsi rugi final karena standardisasi target telah</w:t>
      </w:r>
      <w:r>
        <w:t xml:space="preserve"> </w:t>
      </w:r>
      <w:r>
        <w:t xml:space="preserve">menempatkan kedua komponen gain pada skala pembelajaran yang sebanding.</w:t>
      </w:r>
      <w:r>
        <w:t xml:space="preserve"> </w:t>
      </w:r>
      <w:r>
        <w:t xml:space="preserve">Parameter klasik dan parameter rangkaian kuantum QLSTM dilatih bersama melalui</w:t>
      </w:r>
      <w:r>
        <w:t xml:space="preserve"> </w:t>
      </w:r>
      <w:r>
        <w:t xml:space="preserve">optimisasi gradien. Istilah optimisasi pada konteks ini merujuk pada pelatihan</w:t>
      </w:r>
      <w:r>
        <w:t xml:space="preserve"> </w:t>
      </w:r>
      <w:r>
        <w:t xml:space="preserve">parameter model dan bukan pada penggunaan QLSTM sebagai algoritma optimasi</w:t>
      </w:r>
      <w:r>
        <w:t xml:space="preserve"> </w:t>
      </w:r>
      <w:r>
        <w:t xml:space="preserve">gain.</w:t>
      </w:r>
    </w:p>
    <w:p>
      <w:pPr>
        <w:pStyle w:val="BodyText"/>
      </w:pPr>
      <w:r>
        <w:t xml:space="preserve">Estimasi gain pada Persamaan (2.20) tidak secara otomatis dianggap aman untuk</w:t>
      </w:r>
      <w:r>
        <w:t xml:space="preserve"> </w:t>
      </w:r>
      <w:r>
        <w:t xml:space="preserve">diterapkan. Pada tahap</w:t>
      </w:r>
      <w:r>
        <w:t xml:space="preserve"> </w:t>
      </w:r>
      <w:r>
        <w:rPr>
          <w:iCs/>
          <w:i/>
        </w:rPr>
        <w:t xml:space="preserve">closed-loop</w:t>
      </w:r>
      <w:r>
        <w:t xml:space="preserve">, keluaran tersebut diproses menggunakan</w:t>
      </w:r>
      <w:r>
        <w:t xml:space="preserve"> </w:t>
      </w:r>
      <w:r>
        <w:t xml:space="preserve">rantai scheduler yang sama bagi LSTM–PI dan QLSTM–PI: transformasi balik target,</w:t>
      </w:r>
      <w:r>
        <w:t xml:space="preserve"> </w:t>
      </w:r>
      <w:r>
        <w:t xml:space="preserve">pemeriksaan keterhinggaan,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r>
        <w:t xml:space="preserve"> </w:t>
      </w:r>
      <w:r>
        <w:t xml:space="preserve">pembatasan laju perubahan gain, dan penerapan gain. Mekanisme tersebut</w:t>
      </w:r>
      <w:r>
        <w:t xml:space="preserve"> </w:t>
      </w:r>
      <w:r>
        <w:t xml:space="preserve">dijelaskan pada Subbab 2.8 melalui Persamaan (2.22) dan Persamaan (2.23).</w:t>
      </w:r>
    </w:p>
    <w:p>
      <w:pPr>
        <w:pStyle w:val="BodyText"/>
      </w:pPr>
      <w:r>
        <w:t xml:space="preserve">Dengan struktur tersebut, QLSTM berfungsi sebagai model pembelajaran temporal</w:t>
      </w:r>
      <w:r>
        <w:t xml:space="preserve"> </w:t>
      </w:r>
      <w:r>
        <w:t xml:space="preserve">untuk mengestimasi gain PI dan bukan sebagai pengendali ELC secara langsung.</w:t>
      </w:r>
      <w:r>
        <w:t xml:space="preserve"> </w:t>
      </w:r>
      <w:r>
        <w:t xml:space="preserve">Pengendali PI tetap membentuk aksi kendali terhadap ELC. Gambar 2.3 tetap</w:t>
      </w:r>
      <w:r>
        <w:t xml:space="preserve"> </w:t>
      </w:r>
      <w:r>
        <w:t xml:space="preserve">digunakan sebagai ilustrasi konseptual aliran informasi, dengan interpretasi</w:t>
      </w:r>
      <w:r>
        <w:t xml:space="preserve"> </w:t>
      </w:r>
      <w:r>
        <w:t xml:space="preserve">bahwa keluaran model harus melewati tahap inverse scaling dan kebijakan</w:t>
      </w:r>
      <w:r>
        <w:t xml:space="preserve"> </w:t>
      </w:r>
      <w:r>
        <w:t xml:space="preserve">scheduler sebelum diterapkan sebagai gain PI.</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pPr>
        <w:pStyle w:val="FirstParagraph"/>
      </w:pPr>
      <w:r>
        <w:t xml:space="preserve">Penjadwalan gain memerlukan pemisahan antara laju observasi kondisi sistem dan</w:t>
      </w:r>
      <w:r>
        <w:t xml:space="preserve"> </w:t>
      </w:r>
      <w:r>
        <w:t xml:space="preserve">laju pembaruan parameter pengendali. Dalam implementasi penelitian ini,</w:t>
      </w:r>
      <w:r>
        <w:t xml:space="preserve"> </w:t>
      </w:r>
      <w:r>
        <w:t xml:space="preserve">jendela kondisi operasi diperbarui dari observasi 20 Hz, sedangkan pasangan</w:t>
      </w:r>
      <w:r>
        <w:t xml:space="preserve"> </w:t>
      </w:r>
      <w:r>
        <w:t xml:space="preserve">gain baru diterapkan pada interval supervisori 10 Hz. Di antara dua pembaruan,</w:t>
      </w:r>
      <w:r>
        <w:t xml:space="preserve"> </w:t>
      </w:r>
      <w:r>
        <w:t xml:space="preserve">gain yang sedang berlaku dipertahankan dengan mekanisme</w:t>
      </w:r>
      <w:r>
        <w:t xml:space="preserve"> </w:t>
      </w:r>
      <w:r>
        <w:rPr>
          <w:iCs/>
          <w:i/>
        </w:rPr>
        <w:t xml:space="preserve">zero-order hold</w:t>
      </w:r>
      <w:r>
        <w:t xml:space="preserve">.</w:t>
      </w:r>
    </w:p>
    <w:p>
      <w:pPr>
        <w:pStyle w:val="BodyText"/>
      </w:pPr>
      <w:r>
        <w:t xml:space="preserve">Keluaran model tidak langsung diterapkan pada pengendali PI. Setelah prediksi</w:t>
      </w:r>
      <w:r>
        <w:t xml:space="preserve"> </w:t>
      </w:r>
      <w:r>
        <w:t xml:space="preserve">dikembalikan dari skala target ke satuan fisik dan lolos pemeriksaan</w:t>
      </w:r>
      <w:r>
        <w:t xml:space="preserve"> </w:t>
      </w:r>
      <w:r>
        <w:t xml:space="preserve">keterhinggaan, pasangan gain dibatasi pada</w:t>
      </w:r>
      <w:r>
        <w:t xml:space="preserve"> </w:t>
      </w:r>
      <w:r>
        <w:rPr>
          <w:iCs/>
          <w:i/>
        </w:rPr>
        <w:t xml:space="preserve">envelope</w:t>
      </w:r>
      <w:r>
        <w:t xml:space="preserve"> </w:t>
      </w:r>
      <w:r>
        <w:t xml:space="preserve">admissible. Dengan</w:t>
      </w:r>
      <w:r>
        <w:t xml:space="preserve"> </w:t>
      </w:r>
      <m:oMath>
        <m:sSub>
          <m:e>
            <m:r>
              <m:rPr>
                <m:sty m:val="b"/>
              </m:rPr>
              <m:t>θ</m:t>
            </m:r>
          </m:e>
          <m:sub>
            <m:r>
              <m:t>k</m:t>
            </m:r>
          </m:sub>
        </m:sSub>
        <m:r>
          <m:rPr>
            <m:sty m:val="p"/>
          </m:rPr>
          <m:t>=</m:t>
        </m:r>
        <m:sSup>
          <m:e>
            <m:d>
              <m:dPr>
                <m:begChr m:val="["/>
                <m:endChr m:val="]"/>
                <m:sepChr m:val=""/>
                <m:grow/>
              </m:dPr>
              <m:e>
                <m:sSub>
                  <m:e>
                    <m:r>
                      <m:t>K</m:t>
                    </m:r>
                  </m:e>
                  <m:sub>
                    <m:r>
                      <m:t>p</m:t>
                    </m:r>
                    <m:r>
                      <m:rPr>
                        <m:sty m:val="p"/>
                      </m:rPr>
                      <m:t>,</m:t>
                    </m:r>
                    <m:r>
                      <m:t>k</m:t>
                    </m:r>
                  </m:sub>
                </m:sSub>
                <m:r>
                  <m:rPr>
                    <m:sty m:val="p"/>
                  </m:rPr>
                  <m:t>,</m:t>
                </m:r>
                <m:sSub>
                  <m:e>
                    <m:r>
                      <m:t>K</m:t>
                    </m:r>
                  </m:e>
                  <m:sub>
                    <m:r>
                      <m:t>i</m:t>
                    </m:r>
                    <m:r>
                      <m:rPr>
                        <m:sty m:val="p"/>
                      </m:rPr>
                      <m:t>,</m:t>
                    </m:r>
                    <m:r>
                      <m:t>k</m:t>
                    </m:r>
                  </m:sub>
                </m:sSub>
              </m:e>
            </m:d>
          </m:e>
          <m:sup>
            <m:r>
              <m:rPr>
                <m:sty m:val="p"/>
                <m:scr m:val="sans-serif"/>
              </m:rPr>
              <m:t>T</m:t>
            </m:r>
          </m:sup>
        </m:sSup>
      </m:oMath>
      <w:r>
        <w:t xml:space="preserve">, hasil pembatasan</w:t>
      </w:r>
      <w:r>
        <w:t xml:space="preserve"> </w:t>
      </w:r>
      <w:r>
        <w:t xml:space="preserve">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Sup>
                  <m:e>
                    <m:r>
                      <m:rPr>
                        <m:sty m:val="b"/>
                      </m:rPr>
                      <m:t>θ</m:t>
                    </m:r>
                  </m:e>
                  <m:sub>
                    <m:r>
                      <m:t>k</m:t>
                    </m:r>
                  </m:sub>
                  <m:sup>
                    <m:r>
                      <m:rPr>
                        <m:sty m:val="p"/>
                      </m:rPr>
                      <m:t>c</m:t>
                    </m:r>
                    <m:r>
                      <m:rPr>
                        <m:sty m:val="p"/>
                      </m:rPr>
                      <m:t>l</m:t>
                    </m:r>
                    <m:r>
                      <m:rPr>
                        <m:sty m:val="p"/>
                      </m:rPr>
                      <m:t>i</m:t>
                    </m:r>
                    <m:r>
                      <m:rPr>
                        <m:sty m:val="p"/>
                      </m:rPr>
                      <m:t>p</m:t>
                    </m:r>
                  </m:sup>
                </m:sSubSup>
                <m:r>
                  <m:rPr>
                    <m:sty m:val="p"/>
                  </m:rPr>
                  <m:t>=</m:t>
                </m:r>
                <m:r>
                  <m:rPr>
                    <m:sty m:val="p"/>
                  </m:rPr>
                  <m:t>min</m:t>
                </m:r>
                <m:d>
                  <m:dPr>
                    <m:begChr m:val="("/>
                    <m:endChr m:val=")"/>
                    <m:sepChr m:val=""/>
                    <m:grow/>
                  </m:dPr>
                  <m:e>
                    <m:sSup>
                      <m:e>
                        <m:r>
                          <m:rPr>
                            <m:sty m:val="b"/>
                          </m:rPr>
                          <m:t>θ</m:t>
                        </m:r>
                      </m:e>
                      <m:sup>
                        <m:r>
                          <m:rPr>
                            <m:sty m:val="p"/>
                          </m:rPr>
                          <m:t>max</m:t>
                        </m:r>
                      </m:sup>
                    </m:sSup>
                    <m:r>
                      <m:rPr>
                        <m:sty m:val="p"/>
                      </m:rPr>
                      <m:t>,</m:t>
                    </m:r>
                    <m:r>
                      <m:rPr>
                        <m:sty m:val="p"/>
                      </m:rPr>
                      <m:t>max</m:t>
                    </m:r>
                    <m:d>
                      <m:dPr>
                        <m:begChr m:val="("/>
                        <m:endChr m:val=")"/>
                        <m:sepChr m:val=""/>
                        <m:grow/>
                      </m:dPr>
                      <m:e>
                        <m:sSup>
                          <m:e>
                            <m:r>
                              <m:rPr>
                                <m:sty m:val="b"/>
                              </m:rPr>
                              <m:t>θ</m:t>
                            </m:r>
                          </m:e>
                          <m:sup>
                            <m:r>
                              <m:rPr>
                                <m:sty m:val="p"/>
                              </m:rPr>
                              <m:t>min</m:t>
                            </m:r>
                          </m:sup>
                        </m:sSup>
                        <m:r>
                          <m:rPr>
                            <m:sty m:val="p"/>
                          </m:rPr>
                          <m:t>,</m:t>
                        </m:r>
                        <m:sSub>
                          <m:e>
                            <m:acc>
                              <m:accPr>
                                <m:chr m:val="̂"/>
                              </m:accPr>
                              <m:e>
                                <m:r>
                                  <m:rPr>
                                    <m:sty m:val="b"/>
                                  </m:rPr>
                                  <m:t>θ</m:t>
                                </m:r>
                              </m:e>
                            </m:acc>
                          </m:e>
                          <m:sub>
                            <m:r>
                              <m:t>k</m:t>
                            </m:r>
                          </m:sub>
                        </m:sSub>
                      </m:e>
                    </m:d>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(2.22)</w:t>
            </w:r>
          </w:p>
        </w:tc>
      </w:tr>
    </w:tbl>
    <w:p>
      <w:pPr>
        <w:pStyle w:val="BodyText"/>
      </w:pPr>
      <w:r>
        <w:t xml:space="preserve">dengan</w:t>
      </w:r>
      <w:r>
        <w:t xml:space="preserve"> </w:t>
      </w:r>
      <m:oMath>
        <m:sSup>
          <m:e>
            <m:r>
              <m:rPr>
                <m:sty m:val="b"/>
              </m:rPr>
              <m:t>θ</m:t>
            </m:r>
          </m:e>
          <m:sup>
            <m:r>
              <m:rPr>
                <m:sty m:val="p"/>
              </m:rPr>
              <m:t>min</m:t>
            </m:r>
          </m:sup>
        </m:sSup>
        <m:r>
          <m:rPr>
            <m:sty m:val="p"/>
          </m:rPr>
          <m:t>=</m:t>
        </m:r>
        <m:sSup>
          <m:e>
            <m:d>
              <m:dPr>
                <m:begChr m:val="["/>
                <m:endChr m:val="]"/>
                <m:sepChr m:val=""/>
                <m:grow/>
              </m:dPr>
              <m:e>
                <m:r>
                  <m:t>2</m:t>
                </m:r>
                <m:r>
                  <m:rPr>
                    <m:sty m:val="p"/>
                  </m:rPr>
                  <m:t>,</m:t>
                </m:r>
                <m:r>
                  <m:t>16</m:t>
                </m:r>
                <m:r>
                  <m:rPr>
                    <m:sty m:val="p"/>
                  </m:rPr>
                  <m:t>,</m:t>
                </m:r>
                <m:r>
                  <m:t> </m:t>
                </m:r>
                <m:r>
                  <m:t>3</m:t>
                </m:r>
                <m:r>
                  <m:rPr>
                    <m:sty m:val="p"/>
                  </m:rPr>
                  <m:t>,</m:t>
                </m:r>
                <m:r>
                  <m:t>0368</m:t>
                </m:r>
              </m:e>
            </m:d>
          </m:e>
          <m:sup>
            <m:r>
              <m:rPr>
                <m:sty m:val="p"/>
                <m:scr m:val="sans-serif"/>
              </m:rPr>
              <m:t>T</m:t>
            </m:r>
          </m:sup>
        </m:sSup>
      </m:oMath>
      <w:r>
        <w:t xml:space="preserve"> </w:t>
      </w:r>
      <w:r>
        <w:t xml:space="preserve">dan</w:t>
      </w:r>
      <w:r>
        <w:t xml:space="preserve"> </w:t>
      </w:r>
      <m:oMath>
        <m:sSup>
          <m:e>
            <m:r>
              <m:rPr>
                <m:sty m:val="b"/>
              </m:rPr>
              <m:t>θ</m:t>
            </m:r>
          </m:e>
          <m:sup>
            <m:r>
              <m:rPr>
                <m:sty m:val="p"/>
              </m:rPr>
              <m:t>max</m:t>
            </m:r>
          </m:sup>
        </m:sSup>
        <m:r>
          <m:rPr>
            <m:sty m:val="p"/>
          </m:rPr>
          <m:t>=</m:t>
        </m:r>
        <m:sSup>
          <m:e>
            <m:d>
              <m:dPr>
                <m:begChr m:val="["/>
                <m:endChr m:val="]"/>
                <m:sepChr m:val=""/>
                <m:grow/>
              </m:dPr>
              <m:e>
                <m:r>
                  <m:t>3</m:t>
                </m:r>
                <m:r>
                  <m:rPr>
                    <m:sty m:val="p"/>
                  </m:rPr>
                  <m:t>,</m:t>
                </m:r>
                <m:r>
                  <m:t>36</m:t>
                </m:r>
                <m:r>
                  <m:rPr>
                    <m:sty m:val="p"/>
                  </m:rPr>
                  <m:t>,</m:t>
                </m:r>
                <m:r>
                  <m:t> </m:t>
                </m:r>
                <m:r>
                  <m:t>14</m:t>
                </m:r>
                <m:r>
                  <m:rPr>
                    <m:sty m:val="p"/>
                  </m:rPr>
                  <m:t>,</m:t>
                </m:r>
                <m:r>
                  <m:t>144</m:t>
                </m:r>
              </m:e>
            </m:d>
          </m:e>
          <m:sup>
            <m:r>
              <m:rPr>
                <m:sty m:val="p"/>
                <m:scr m:val="sans-serif"/>
              </m:rPr>
              <m:t>T</m:t>
            </m:r>
          </m:sup>
        </m:sSup>
      </m:oMath>
      <w:r>
        <w:t xml:space="preserve">.</w:t>
      </w:r>
      <w:r>
        <w:t xml:space="preserve"> </w:t>
      </w:r>
      <w:r>
        <w:t xml:space="preserve">Rentang tersebut merupakan</w:t>
      </w:r>
      <w:r>
        <w:t xml:space="preserve"> </w:t>
      </w:r>
      <w:r>
        <w:rPr>
          <w:iCs/>
          <w:i/>
        </w:rPr>
        <w:t xml:space="preserve">envelope</w:t>
      </w:r>
      <w:r>
        <w:t xml:space="preserve"> </w:t>
      </w:r>
      <w:r>
        <w:t xml:space="preserve">gain admissible yang diturunkan dari</w:t>
      </w:r>
      <w:r>
        <w:t xml:space="preserve"> </w:t>
      </w:r>
      <w:r>
        <w:t xml:space="preserve">label pembelajaran final dan tidak ditafsirkan sebagai jaminan kestabilan</w:t>
      </w:r>
      <w:r>
        <w:t xml:space="preserve"> </w:t>
      </w:r>
      <w:r>
        <w:t xml:space="preserve">global untuk seluruh kondisi fisik PLTMH.</w:t>
      </w:r>
    </w:p>
    <w:p>
      <w:pPr>
        <w:pStyle w:val="BodyText"/>
      </w:pPr>
      <w:r>
        <w:t xml:space="preserve">Perubahan gain selanjutnya dibatasi terhadap nilai yang sedang diterapkan.</w:t>
      </w:r>
      <w:r>
        <w:t xml:space="preserve"> </w:t>
      </w:r>
      <w:r>
        <w:t xml:space="preserve">Untuk interval pembaruan</w:t>
      </w:r>
      <w:r>
        <w:t xml:space="preserve"> </w:t>
      </w:r>
      <m:oMath>
        <m:r>
          <m:t>Δ</m:t>
        </m:r>
        <m:sSub>
          <m:e>
            <m:r>
              <m:t>t</m:t>
            </m:r>
          </m:e>
          <m:sub>
            <m:r>
              <m:t>u</m:t>
            </m:r>
          </m:sub>
        </m:sSub>
        <m:r>
          <m:rPr>
            <m:sty m:val="p"/>
          </m:rPr>
          <m:t>=</m:t>
        </m:r>
        <m:r>
          <m:t>0</m:t>
        </m:r>
        <m:r>
          <m:rPr>
            <m:sty m:val="p"/>
          </m:rPr>
          <m:t>,</m:t>
        </m:r>
        <m:r>
          <m:t>1</m:t>
        </m:r>
      </m:oMath>
      <w:r>
        <w:t xml:space="preserve"> </w:t>
      </w:r>
      <w:r>
        <w:t xml:space="preserve">s dan vektor batas laju</w:t>
      </w:r>
      <w:r>
        <w:t xml:space="preserve"> </w:t>
      </w:r>
      <m:oMath>
        <m:r>
          <m:rPr>
            <m:sty m:val="b"/>
          </m:rPr>
          <m:t>r</m:t>
        </m:r>
        <m:r>
          <m:rPr>
            <m:sty m:val="p"/>
          </m:rPr>
          <m:t>=</m:t>
        </m:r>
        <m:sSup>
          <m:e>
            <m:d>
              <m:dPr>
                <m:begChr m:val="["/>
                <m:endChr m:val="]"/>
                <m:sepChr m:val=""/>
                <m:grow/>
              </m:dPr>
              <m:e>
                <m:r>
                  <m:t>1</m:t>
                </m:r>
                <m:r>
                  <m:rPr>
                    <m:sty m:val="p"/>
                  </m:rPr>
                  <m:t>,</m:t>
                </m:r>
                <m:r>
                  <m:t>2</m:t>
                </m:r>
                <m:r>
                  <m:rPr>
                    <m:sty m:val="p"/>
                  </m:rPr>
                  <m:t>,</m:t>
                </m:r>
                <m:r>
                  <m:t> </m:t>
                </m:r>
                <m:r>
                  <m:t>11</m:t>
                </m:r>
                <m:r>
                  <m:rPr>
                    <m:sty m:val="p"/>
                  </m:rPr>
                  <m:t>,</m:t>
                </m:r>
                <m:r>
                  <m:t>1072</m:t>
                </m:r>
              </m:e>
            </m:d>
          </m:e>
          <m:sup>
            <m:r>
              <m:rPr>
                <m:sty m:val="p"/>
                <m:scr m:val="sans-serif"/>
              </m:rPr>
              <m:t>T</m:t>
            </m:r>
          </m:sup>
        </m:sSup>
      </m:oMath>
      <w:r>
        <w:t xml:space="preserve"> </w:t>
      </w:r>
      <w:r>
        <w:t xml:space="preserve">per detik, gain terapan</w:t>
      </w:r>
      <w:r>
        <w:t xml:space="preserve"> </w:t>
      </w:r>
      <w:r>
        <w:t xml:space="preserve">dirumuskan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b"/>
                      </m:rPr>
                      <m:t>θ</m:t>
                    </m:r>
                  </m:e>
                  <m:sub>
                    <m:r>
                      <m:t>k</m:t>
                    </m:r>
                  </m:sub>
                </m:sSub>
                <m:r>
                  <m:rPr>
                    <m:sty m:val="p"/>
                  </m:rPr>
                  <m:t>=</m:t>
                </m:r>
                <m:sSub>
                  <m:e>
                    <m:r>
                      <m:rPr>
                        <m:sty m:val="b"/>
                      </m:rPr>
                      <m:t>θ</m:t>
                    </m:r>
                  </m:e>
                  <m:sub>
                    <m:r>
                      <m:t>k</m:t>
                    </m:r>
                    <m:r>
                      <m:rPr>
                        <m:sty m:val="p"/>
                      </m:rPr>
                      <m:t>−</m:t>
                    </m:r>
                    <m:r>
                      <m:t>1</m:t>
                    </m:r>
                  </m:sub>
                </m:sSub>
                <m:r>
                  <m:rPr>
                    <m:sty m:val="p"/>
                  </m:rPr>
                  <m:t>+</m:t>
                </m:r>
                <m:r>
                  <m:rPr>
                    <m:sty m:val="p"/>
                  </m:rPr>
                  <m:t>clip</m:t>
                </m:r>
                <m:d>
                  <m:dPr>
                    <m:begChr m:val="("/>
                    <m:endChr m:val=")"/>
                    <m:sepChr m:val=""/>
                    <m:grow/>
                  </m:dPr>
                  <m:e>
                    <m:sSubSup>
                      <m:e>
                        <m:r>
                          <m:rPr>
                            <m:sty m:val="b"/>
                          </m:rPr>
                          <m:t>θ</m:t>
                        </m:r>
                      </m:e>
                      <m:sub>
                        <m:r>
                          <m:t>k</m:t>
                        </m:r>
                      </m:sub>
                      <m:sup>
                        <m:r>
                          <m:rPr>
                            <m:sty m:val="p"/>
                          </m:rPr>
                          <m:t>c</m:t>
                        </m:r>
                        <m:r>
                          <m:rPr>
                            <m:sty m:val="p"/>
                          </m:rPr>
                          <m:t>l</m:t>
                        </m:r>
                        <m:r>
                          <m:rPr>
                            <m:sty m:val="p"/>
                          </m:rPr>
                          <m:t>i</m:t>
                        </m:r>
                        <m:r>
                          <m:rPr>
                            <m:sty m:val="p"/>
                          </m:rPr>
                          <m:t>p</m:t>
                        </m:r>
                      </m:sup>
                    </m:sSubSup>
                    <m:r>
                      <m:rPr>
                        <m:sty m:val="p"/>
                      </m:rPr>
                      <m:t>−</m:t>
                    </m:r>
                    <m:sSub>
                      <m:e>
                        <m:r>
                          <m:rPr>
                            <m:sty m:val="b"/>
                          </m:rPr>
                          <m:t>θ</m:t>
                        </m:r>
                      </m:e>
                      <m:sub>
                        <m:r>
                          <m:t>k</m:t>
                        </m:r>
                        <m:r>
                          <m:rPr>
                            <m:sty m:val="p"/>
                          </m:rPr>
                          <m:t>−</m:t>
                        </m:r>
                        <m:r>
                          <m:t>1</m:t>
                        </m:r>
                      </m:sub>
                    </m:sSub>
                    <m:r>
                      <m:rPr>
                        <m:sty m:val="p"/>
                      </m:rPr>
                      <m:t>,</m:t>
                    </m:r>
                    <m:r>
                      <m:rPr>
                        <m:sty m:val="p"/>
                      </m:rPr>
                      <m:t>−</m:t>
                    </m:r>
                    <m:r>
                      <m:rPr>
                        <m:sty m:val="b"/>
                      </m:rPr>
                      <m:t>r</m:t>
                    </m:r>
                    <m:r>
                      <m:t>Δ</m:t>
                    </m:r>
                    <m:sSub>
                      <m:e>
                        <m:r>
                          <m:t>t</m:t>
                        </m:r>
                      </m:e>
                      <m:sub>
                        <m:r>
                          <m:t>u</m:t>
                        </m:r>
                      </m:sub>
                    </m:sSub>
                    <m:r>
                      <m:rPr>
                        <m:sty m:val="p"/>
                      </m:rPr>
                      <m:t>,</m:t>
                    </m:r>
                    <m:r>
                      <m:rPr>
                        <m:sty m:val="b"/>
                      </m:rPr>
                      <m:t>r</m:t>
                    </m:r>
                    <m:r>
                      <m:t>Δ</m:t>
                    </m:r>
                    <m:sSub>
                      <m:e>
                        <m:r>
                          <m:t>t</m:t>
                        </m:r>
                      </m:e>
                      <m:sub>
                        <m:r>
                          <m:t>u</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(2.23)</w:t>
            </w:r>
          </w:p>
        </w:tc>
      </w:tr>
    </w:tbl>
    <w:p>
      <w:pPr>
        <w:pStyle w:val="BodyText"/>
      </w:pPr>
      <w:r>
        <w:t xml:space="preserve">Persamaan (2.22) dan Persamaan (2.23) merepresentasikan dua perlindungan yang</w:t>
      </w:r>
      <w:r>
        <w:t xml:space="preserve"> </w:t>
      </w:r>
      <w:r>
        <w:t xml:space="preserve">berbeda.</w:t>
      </w:r>
      <w:r>
        <w:t xml:space="preserve"> </w:t>
      </w:r>
      <w:r>
        <w:rPr>
          <w:iCs/>
          <w:i/>
        </w:rPr>
        <w:t xml:space="preserve">Clipping</w:t>
      </w:r>
      <w:r>
        <w:t xml:space="preserve"> </w:t>
      </w:r>
      <w:r>
        <w:t xml:space="preserve">membatasi besar gain pada</w:t>
      </w:r>
      <w:r>
        <w:t xml:space="preserve"> </w:t>
      </w:r>
      <w:r>
        <w:rPr>
          <w:iCs/>
          <w:i/>
        </w:rPr>
        <w:t xml:space="preserve">envelope</w:t>
      </w:r>
      <w:r>
        <w:t xml:space="preserve"> </w:t>
      </w:r>
      <w:r>
        <w:t xml:space="preserve">admissible, sedangkan</w:t>
      </w:r>
      <w:r>
        <w:t xml:space="preserve"> </w:t>
      </w:r>
      <w:r>
        <w:rPr>
          <w:iCs/>
          <w:i/>
        </w:rPr>
        <w:t xml:space="preserve">pembatasan laju</w:t>
      </w:r>
      <w:r>
        <w:t xml:space="preserve"> </w:t>
      </w:r>
      <w:r>
        <w:t xml:space="preserve">membatasi besar perubahan antarpembaruan. Penelitian ini</w:t>
      </w:r>
      <w:r>
        <w:t xml:space="preserve"> </w:t>
      </w:r>
      <w:r>
        <w:t xml:space="preserve">tidak menggunakan</w:t>
      </w:r>
      <w:r>
        <w:t xml:space="preserve"> </w:t>
      </w:r>
      <w:r>
        <w:rPr>
          <w:iCs/>
          <w:i/>
        </w:rPr>
        <w:t xml:space="preserve">exponential smoothing</w:t>
      </w:r>
      <w:r>
        <w:t xml:space="preserve"> </w:t>
      </w:r>
      <w:r>
        <w:t xml:space="preserve">sebagai tahap tambahan.</w:t>
      </w:r>
    </w:p>
    <w:p>
      <w:pPr>
        <w:pStyle w:val="BodyText"/>
      </w:pPr>
      <w:r>
        <w:t xml:space="preserve">Rugh dan Shamma (2000) menekankan bahwa</w:t>
      </w:r>
      <w:r>
        <w:t xml:space="preserve"> </w:t>
      </w:r>
      <w:r>
        <w:rPr>
          <w:iCs/>
          <w:i/>
        </w:rPr>
        <w:t xml:space="preserve">gain scheduling</w:t>
      </w:r>
      <w:r>
        <w:t xml:space="preserve"> </w:t>
      </w:r>
      <w:r>
        <w:t xml:space="preserve">tidak hanya</w:t>
      </w:r>
      <w:r>
        <w:t xml:space="preserve"> </w:t>
      </w:r>
      <w:r>
        <w:t xml:space="preserve">memerlukan kualitas pengendali pada titik operasi tertentu, tetapi juga perlu</w:t>
      </w:r>
      <w:r>
        <w:t xml:space="preserve"> </w:t>
      </w:r>
      <w:r>
        <w:t xml:space="preserve">memperhatikan perpindahan antarparameter. Atas dasar tersebut, LSTM–PI dan</w:t>
      </w:r>
      <w:r>
        <w:t xml:space="preserve"> </w:t>
      </w:r>
      <w:r>
        <w:t xml:space="preserve">QLSTM–PI menggunakan aturan penerapan gain yang identik agar perbedaan respons</w:t>
      </w:r>
      <w:r>
        <w:t xml:space="preserve"> </w:t>
      </w:r>
      <w:r>
        <w:rPr>
          <w:iCs/>
          <w:i/>
        </w:rPr>
        <w:t xml:space="preserve">closed-loop</w:t>
      </w:r>
      <w:r>
        <w:t xml:space="preserve"> </w:t>
      </w:r>
      <w:r>
        <w:t xml:space="preserve">merefleksikan perbedaan keluaran model, bukan perbedaan mekanisme</w:t>
      </w:r>
      <w:r>
        <w:t xml:space="preserve"> </w:t>
      </w:r>
      <w:r>
        <w:t xml:space="preserve">transisi gain. Jika keluaran model tidak berhingga atau tidak tersedia,</w:t>
      </w:r>
      <w:r>
        <w:t xml:space="preserve"> </w:t>
      </w:r>
      <w:r>
        <w:t xml:space="preserve">scheduler menggunakan pasangan fallback PI tetap yang telah dibekukan.</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pPr>
        <w:pStyle w:val="FirstParagraph"/>
      </w:pPr>
      <w:r>
        <w:t xml:space="preserve">Evaluasi penelitian dibedakan menjadi kinerja estimasi gain pada tingkat model</w:t>
      </w:r>
      <w:r>
        <w:t xml:space="preserve"> </w:t>
      </w:r>
      <w:r>
        <w:t xml:space="preserve">dan kinerja respons pada tingkat</w:t>
      </w:r>
      <w:r>
        <w:t xml:space="preserve"> </w:t>
      </w:r>
      <w:r>
        <w:rPr>
          <w:iCs/>
          <w:i/>
        </w:rPr>
        <w:t xml:space="preserve">closed-loop</w:t>
      </w:r>
      <w:r>
        <w:t xml:space="preserve">. Pemisahan tersebut diperlukan</w:t>
      </w:r>
      <w:r>
        <w:t xml:space="preserve"> </w:t>
      </w:r>
      <w:r>
        <w:t xml:space="preserve">karena galat estimasi gain yang rendah tidak secara otomatis menghasilkan</w:t>
      </w:r>
      <w:r>
        <w:t xml:space="preserve"> </w:t>
      </w:r>
      <w:r>
        <w:t xml:space="preserve">respons frekuensi yang lebih baik setelah gain diterapkan pada pengendali PI.</w:t>
      </w:r>
    </w:p>
    <w:p>
      <w:pPr>
        <w:pStyle w:val="BodyText"/>
      </w:pPr>
      <w:r>
        <w:t xml:space="preserve">Deviasi frekuensi terhadap nilai referensi dinyatakan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r>
                  <m:t>f</m:t>
                </m:r>
                <m:d>
                  <m:dPr>
                    <m:begChr m:val="("/>
                    <m:endChr m:val=")"/>
                    <m:sepChr m:val=""/>
                    <m:grow/>
                  </m:dPr>
                  <m:e>
                    <m:r>
                      <m:t>t</m:t>
                    </m:r>
                  </m:e>
                </m:d>
                <m:r>
                  <m:rPr>
                    <m:sty m:val="p"/>
                  </m:rPr>
                  <m:t>=</m:t>
                </m:r>
                <m:r>
                  <m:t>f</m:t>
                </m:r>
                <m:d>
                  <m:dPr>
                    <m:begChr m:val="("/>
                    <m:endChr m:val=")"/>
                    <m:sepChr m:val=""/>
                    <m:grow/>
                  </m:dPr>
                  <m:e>
                    <m:r>
                      <m:t>t</m:t>
                    </m:r>
                  </m:e>
                </m:d>
                <m:r>
                  <m:rPr>
                    <m:sty m:val="p"/>
                  </m:rPr>
                  <m:t>−</m:t>
                </m:r>
                <m:sSub>
                  <m:e>
                    <m:r>
                      <m:t>f</m:t>
                    </m:r>
                  </m:e>
                  <m:sub>
                    <m:r>
                      <m:rPr>
                        <m:sty m:val="p"/>
                      </m:rPr>
                      <m:t>r</m:t>
                    </m:r>
                    <m:r>
                      <m:rPr>
                        <m:sty m:val="p"/>
                      </m:rPr>
                      <m:t>e</m:t>
                    </m:r>
                    <m:r>
                      <m:rPr>
                        <m:sty m:val="p"/>
                      </m:rPr>
                      <m:t>f</m:t>
                    </m:r>
                  </m:sub>
                </m:sSub>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(2.24)</w:t>
            </w:r>
          </w:p>
        </w:tc>
      </w:tr>
    </w:tbl>
    <w:p>
      <w:pPr>
        <w:pStyle w:val="BodyText"/>
      </w:pPr>
      <w:r>
        <w:t xml:space="preserve">Metrik primer untuk perbandingan</w:t>
      </w:r>
      <w:r>
        <w:t xml:space="preserve"> </w:t>
      </w:r>
      <w:r>
        <w:rPr>
          <w:iCs/>
          <w:i/>
        </w:rPr>
        <w:t xml:space="preserve">closed-loop</w:t>
      </w:r>
      <w:r>
        <w:t xml:space="preserve"> </w:t>
      </w:r>
      <w:r>
        <w:t xml:space="preserve">adalah</w:t>
      </w:r>
      <w:r>
        <w:t xml:space="preserve"> </w:t>
      </w:r>
      <w:r>
        <w:rPr>
          <w:iCs/>
          <w:i/>
        </w:rPr>
        <w:t xml:space="preserve">root mean square error</w:t>
      </w:r>
      <w:r>
        <w:t xml:space="preserve"> </w:t>
      </w:r>
      <w:r>
        <w:t xml:space="preserve">(RMSE) deviasi frekuensi pada interval pascagangguan,</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sSub>
                  <m:e>
                    <m:r>
                      <m:rPr>
                        <m:sty m:val="p"/>
                      </m:rPr>
                      <m:t>R</m:t>
                    </m:r>
                    <m:r>
                      <m:rPr>
                        <m:sty m:val="p"/>
                      </m:rPr>
                      <m:t>M</m:t>
                    </m:r>
                    <m:r>
                      <m:rPr>
                        <m:sty m:val="p"/>
                      </m:rPr>
                      <m:t>S</m:t>
                    </m:r>
                    <m:r>
                      <m:rPr>
                        <m:sty m:val="p"/>
                      </m:rPr>
                      <m:t>E</m:t>
                    </m:r>
                  </m:e>
                  <m:sub>
                    <m:r>
                      <m:t>Δ</m:t>
                    </m:r>
                    <m:r>
                      <m:t>f</m:t>
                    </m:r>
                  </m:sub>
                </m:sSub>
                <m:r>
                  <m:rPr>
                    <m:sty m:val="p"/>
                  </m:rPr>
                  <m:t>=</m:t>
                </m:r>
                <m:rad>
                  <m:radPr>
                    <m:degHide m:val="on"/>
                  </m:radPr>
                  <m:deg/>
                  <m:e>
                    <m:f>
                      <m:fPr>
                        <m:type m:val="bar"/>
                      </m:fPr>
                      <m:num>
                        <m:r>
                          <m:t>1</m:t>
                        </m:r>
                      </m:num>
                      <m:den>
                        <m:r>
                          <m:t>N</m:t>
                        </m:r>
                      </m:den>
                    </m:f>
                    <m:nary>
                      <m:naryPr>
                        <m:chr m:val="∑"/>
                        <m:limLoc m:val="undOvr"/>
                        <m:subHide m:val="off"/>
                        <m:supHide m:val="off"/>
                      </m:naryPr>
                      <m:sub>
                        <m:r>
                          <m:t>n</m:t>
                        </m:r>
                        <m:r>
                          <m:rPr>
                            <m:sty m:val="p"/>
                          </m:rPr>
                          <m:t>=</m:t>
                        </m:r>
                        <m:r>
                          <m:t>1</m:t>
                        </m:r>
                      </m:sub>
                      <m:sup>
                        <m:r>
                          <m:t>N</m:t>
                        </m:r>
                      </m:sup>
                      <m:e>
                        <m:sSup>
                          <m:e>
                            <m:d>
                              <m:dPr>
                                <m:begChr m:val="("/>
                                <m:endChr m:val=")"/>
                                <m:sepChr m:val=""/>
                                <m:grow/>
                              </m:dPr>
                              <m:e>
                                <m:r>
                                  <m:t>Δ</m:t>
                                </m:r>
                                <m:sSub>
                                  <m:e>
                                    <m:r>
                                      <m:t>f</m:t>
                                    </m:r>
                                  </m:e>
                                  <m:sub>
                                    <m:r>
                                      <m:t>n</m:t>
                                    </m:r>
                                  </m:sub>
                                </m:sSub>
                              </m:e>
                            </m:d>
                          </m:e>
                          <m:sup>
                            <m:r>
                              <m:t>2</m:t>
                            </m:r>
                          </m:sup>
                        </m:sSup>
                      </m:e>
                    </m:nary>
                  </m:e>
                </m:ra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(2.25)</w:t>
            </w:r>
          </w:p>
        </w:tc>
      </w:tr>
    </w:tbl>
    <w:p>
      <w:pPr>
        <w:pStyle w:val="BodyText"/>
      </w:pPr>
      <w:r>
        <w:t xml:space="preserve">Simpangan maksimum digunakan sebagai indikator pendukung dan dinyatakan</w:t>
      </w:r>
      <w:r>
        <w:t xml:space="preserve"> </w:t>
      </w:r>
      <w:r>
        <w:t xml:space="preserve">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f</m:t>
                    </m:r>
                  </m:e>
                  <m:sub>
                    <m:r>
                      <m:rPr>
                        <m:sty m:val="p"/>
                      </m:rPr>
                      <m:t>max</m:t>
                    </m:r>
                  </m:sub>
                </m:sSub>
                <m:r>
                  <m:rPr>
                    <m:sty m:val="p"/>
                  </m:rPr>
                  <m:t>=</m:t>
                </m:r>
                <m:limLow>
                  <m:e>
                    <m:r>
                      <m:rPr>
                        <m:sty m:val="p"/>
                      </m:rPr>
                      <m:t>max</m:t>
                    </m:r>
                  </m:e>
                  <m:lim>
                    <m:r>
                      <m:t>n</m:t>
                    </m:r>
                  </m:lim>
                </m:limLow>
                <m:d>
                  <m:dPr>
                    <m:begChr m:val="|"/>
                    <m:endChr m:val="|"/>
                    <m:sepChr m:val=""/>
                    <m:grow/>
                  </m:dPr>
                  <m:e>
                    <m:r>
                      <m:t>Δ</m:t>
                    </m:r>
                    <m:sSub>
                      <m:e>
                        <m:r>
                          <m:t>f</m:t>
                        </m:r>
                      </m:e>
                      <m:sub>
                        <m:r>
                          <m:t>n</m:t>
                        </m:r>
                      </m:sub>
                    </m:sSub>
                  </m:e>
                </m:d>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(2.26)</w:t>
            </w:r>
          </w:p>
        </w:tc>
      </w:tr>
    </w:tbl>
    <w:p>
      <w:pPr>
        <w:pStyle w:val="BodyText"/>
      </w:pPr>
      <w:r>
        <w:t xml:space="preserve">Perubahan relatif suatu metrik terhadap baseline dapat dituliskan sebagai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t>Δ</m:t>
                </m:r>
                <m:sSub>
                  <m:e>
                    <m:r>
                      <m:t>M</m:t>
                    </m:r>
                  </m:e>
                  <m:sub>
                    <m:r>
                      <m:rPr>
                        <m:sty m:val="p"/>
                      </m:rPr>
                      <m:t>%</m:t>
                    </m:r>
                  </m:sub>
                </m:sSub>
                <m:r>
                  <m:rPr>
                    <m:sty m:val="p"/>
                  </m:rPr>
                  <m:t>=</m:t>
                </m:r>
                <m:r>
                  <m:t>100</m:t>
                </m:r>
                <m:r>
                  <m:rPr>
                    <m:sty m:val="p"/>
                  </m:rPr>
                  <m:t>%</m:t>
                </m:r>
                <m:f>
                  <m:fPr>
                    <m:type m:val="bar"/>
                  </m:fPr>
                  <m:num>
                    <m:sSub>
                      <m:e>
                        <m:r>
                          <m:t>M</m:t>
                        </m:r>
                      </m:e>
                      <m:sub>
                        <m:r>
                          <m:rPr>
                            <m:sty m:val="p"/>
                          </m:rPr>
                          <m:t>m</m:t>
                        </m:r>
                        <m:r>
                          <m:rPr>
                            <m:sty m:val="p"/>
                          </m:rPr>
                          <m:t>e</m:t>
                        </m:r>
                        <m:r>
                          <m:rPr>
                            <m:sty m:val="p"/>
                          </m:rPr>
                          <m:t>t</m:t>
                        </m:r>
                        <m:r>
                          <m:rPr>
                            <m:sty m:val="p"/>
                          </m:rPr>
                          <m:t>o</m:t>
                        </m:r>
                        <m:r>
                          <m:rPr>
                            <m:sty m:val="p"/>
                          </m:rPr>
                          <m:t>d</m:t>
                        </m:r>
                        <m:r>
                          <m:rPr>
                            <m:sty m:val="p"/>
                          </m:rPr>
                          <m:t>e</m:t>
                        </m:r>
                      </m:sub>
                    </m:sSub>
                    <m:r>
                      <m:rPr>
                        <m:sty m:val="p"/>
                      </m:rPr>
                      <m:t>−</m:t>
                    </m:r>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num>
                  <m:den>
                    <m:sSub>
                      <m:e>
                        <m:r>
                          <m:t>M</m:t>
                        </m:r>
                      </m:e>
                      <m:sub>
                        <m:r>
                          <m:rPr>
                            <m:sty m:val="p"/>
                          </m:rPr>
                          <m:t>b</m:t>
                        </m:r>
                        <m:r>
                          <m:rPr>
                            <m:sty m:val="p"/>
                          </m:rPr>
                          <m:t>a</m:t>
                        </m:r>
                        <m:r>
                          <m:rPr>
                            <m:sty m:val="p"/>
                          </m:rPr>
                          <m:t>s</m:t>
                        </m:r>
                        <m:r>
                          <m:rPr>
                            <m:sty m:val="p"/>
                          </m:rPr>
                          <m:t>e</m:t>
                        </m:r>
                        <m:r>
                          <m:rPr>
                            <m:sty m:val="p"/>
                          </m:rPr>
                          <m:t>l</m:t>
                        </m:r>
                        <m:r>
                          <m:rPr>
                            <m:sty m:val="p"/>
                          </m:rPr>
                          <m:t>i</m:t>
                        </m:r>
                        <m:r>
                          <m:rPr>
                            <m:sty m:val="p"/>
                          </m:rPr>
                          <m:t>n</m:t>
                        </m:r>
                        <m:r>
                          <m:rPr>
                            <m:sty m:val="p"/>
                          </m:rPr>
                          <m:t>e</m:t>
                        </m:r>
                      </m:sub>
                    </m:sSub>
                  </m:den>
                </m:f>
                <m:r>
                  <m:rPr>
                    <m:sty m:val="p"/>
                  </m: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Pr>
                <w:rFonts w:ascii="Times New Roman" w:hAnsi="Times New Roman" w:cs="Times New Roman"/>
              </w:rPr>
              <w:t>(2.27)</w:t>
            </w:r>
          </w:p>
        </w:tc>
      </w:tr>
    </w:tbl>
    <w:p>
      <w:pPr>
        <w:pStyle w:val="BodyText"/>
      </w:pPr>
      <w:r>
        <w:t xml:space="preserve">Untuk metrik yang semakin baik ketika nilainya mengecil, nilai</w:t>
      </w:r>
      <w:r>
        <w:t xml:space="preserve"> </w:t>
      </w:r>
      <m:oMath>
        <m:r>
          <m:t>Δ</m:t>
        </m:r>
        <m:sSub>
          <m:e>
            <m:r>
              <m:t>M</m:t>
            </m:r>
          </m:e>
          <m:sub>
            <m:r>
              <m:rPr>
                <m:sty m:val="p"/>
              </m:rPr>
              <m:t>%</m:t>
            </m:r>
          </m:sub>
        </m:sSub>
        <m:r>
          <m:rPr>
            <m:sty m:val="p"/>
          </m:rPr>
          <m:t>&lt;</m:t>
        </m:r>
        <m:r>
          <m:t>0</m:t>
        </m:r>
      </m:oMath>
      <w:r>
        <w:t xml:space="preserve"> </w:t>
      </w:r>
      <w:r>
        <w:t xml:space="preserve">menunjukkan penurunan terhadap baseline, sedangkan</w:t>
      </w:r>
      <w:r>
        <w:t xml:space="preserve"> </w:t>
      </w:r>
      <m:oMath>
        <m:r>
          <m:t>Δ</m:t>
        </m:r>
        <m:sSub>
          <m:e>
            <m:r>
              <m:t>M</m:t>
            </m:r>
          </m:e>
          <m:sub>
            <m:r>
              <m:rPr>
                <m:sty m:val="p"/>
              </m:rPr>
              <m:t>%</m:t>
            </m:r>
          </m:sub>
        </m:sSub>
        <m:r>
          <m:rPr>
            <m:sty m:val="p"/>
          </m:rPr>
          <m:t>&gt;</m:t>
        </m:r>
        <m:r>
          <m:t>0</m:t>
        </m:r>
      </m:oMath>
      <w:r>
        <w:t xml:space="preserve"> </w:t>
      </w:r>
      <w:r>
        <w:t xml:space="preserve">menunjukkan peningkatan nilai metrik dan tidak boleh</w:t>
      </w:r>
      <w:r>
        <w:t xml:space="preserve"> </w:t>
      </w:r>
      <w:r>
        <w:t xml:space="preserve">secara otomatis disebut sebagai perbaikan kinerja.</w:t>
      </w:r>
    </w:p>
    <w:p>
      <w:pPr>
        <w:pStyle w:val="BodyText"/>
      </w:pPr>
      <w:r>
        <w:t xml:space="preserve">Selain RMSE, interpretasi respons menggunakan simpangan maksimum, RoCoF,</w:t>
      </w:r>
      <w:r>
        <w:t xml:space="preserve"> </w:t>
      </w:r>
      <w:r>
        <w:t xml:space="preserve">waktu tunak, aktivitas beban buangan, lintasan gain, dan beban komputasi</w:t>
      </w:r>
      <w:r>
        <w:t xml:space="preserve"> </w:t>
      </w:r>
      <w:r>
        <w:t xml:space="preserve">sebagai bukti pendukung. Pada tingkat model, kualitas estimasi dianalisis</w:t>
      </w:r>
      <w:r>
        <w:t xml:space="preserve"> </w:t>
      </w:r>
      <w:r>
        <w:t xml:space="preserve">menggunakan kesalahan pada data uji, termasuk MSE terstandarisasi serta RMSE</w:t>
      </w:r>
      <w:r>
        <w:t xml:space="preserve"> </w:t>
      </w:r>
      <m:oMath>
        <m:sSub>
          <m:e>
            <m:r>
              <m:t>K</m:t>
            </m:r>
          </m:e>
          <m:sub>
            <m:r>
              <m:t>p</m:t>
            </m:r>
          </m:sub>
        </m:sSub>
      </m:oMath>
      <w:r>
        <w:t xml:space="preserve"> </w:t>
      </w:r>
      <w:r>
        <w:t xml:space="preserve">dan</w:t>
      </w:r>
      <w:r>
        <w:t xml:space="preserve"> </w:t>
      </w:r>
      <m:oMath>
        <m:sSub>
          <m:e>
            <m:r>
              <m:t>K</m:t>
            </m:r>
          </m:e>
          <m:sub>
            <m:r>
              <m:t>i</m:t>
            </m:r>
          </m:sub>
        </m:sSub>
      </m:oMath>
      <w:r>
        <w:t xml:space="preserve">. Kinerja tingkat model dan tingkat kendali dilaporkan</w:t>
      </w:r>
      <w:r>
        <w:t xml:space="preserve"> </w:t>
      </w:r>
      <w:r>
        <w:t xml:space="preserve">secara terpisah.</w:t>
      </w:r>
    </w:p>
    <w:p>
      <w:pPr>
        <w:pStyle w:val="BodyText"/>
      </w:pPr>
      <w:r>
        <w:t xml:space="preserve">Evaluasi primer</w:t>
      </w:r>
      <w:r>
        <w:t xml:space="preserve"> </w:t>
      </w:r>
      <w:r>
        <w:rPr>
          <w:iCs/>
          <w:i/>
        </w:rPr>
        <w:t xml:space="preserve">closed-loop</w:t>
      </w:r>
      <w:r>
        <w:t xml:space="preserve"> </w:t>
      </w:r>
      <w:r>
        <w:t xml:space="preserve">menggunakan dua keluarga dinamik uji independen.</w:t>
      </w:r>
      <w:r>
        <w:t xml:space="preserve"> </w:t>
      </w:r>
      <w:r>
        <w:t xml:space="preserve">Karena jumlah unit evaluasi primer independen hanya dua keluarga, hasil tidak</w:t>
      </w:r>
      <w:r>
        <w:t xml:space="preserve"> </w:t>
      </w:r>
      <w:r>
        <w:t xml:space="preserve">digunakan untuk melakukan</w:t>
      </w:r>
      <w:r>
        <w:t xml:space="preserve"> </w:t>
      </w:r>
      <w:r>
        <w:rPr>
          <w:iCs/>
          <w:i/>
        </w:rPr>
        <w:t xml:space="preserve">paired t-test</w:t>
      </w:r>
      <w:r>
        <w:t xml:space="preserve">, Wilcoxon</w:t>
      </w:r>
      <w:r>
        <w:t xml:space="preserve"> </w:t>
      </w:r>
      <w:r>
        <w:rPr>
          <w:iCs/>
          <w:i/>
        </w:rPr>
        <w:t xml:space="preserve">signed-rank test</w:t>
      </w:r>
      <w:r>
        <w:t xml:space="preserve">, atau</w:t>
      </w:r>
      <w:r>
        <w:t xml:space="preserve"> </w:t>
      </w:r>
      <w:r>
        <w:t xml:space="preserve">klaim signifikansi statistik. Perbandingan utama bersifat deskriptif pada</w:t>
      </w:r>
      <w:r>
        <w:t xml:space="preserve"> </w:t>
      </w:r>
      <w:r>
        <w:t xml:space="preserve">tingkat keluarga dinamik, sedangkan skenario tambahan hanya digunakan sesuai</w:t>
      </w:r>
      <w:r>
        <w:t xml:space="preserve"> </w:t>
      </w:r>
      <w:r>
        <w:t xml:space="preserve">peran diagnostiknya. Dengan demikian, banyaknya titik waktu hasil integrasi</w:t>
      </w:r>
      <w:r>
        <w:t xml:space="preserve"> </w:t>
      </w:r>
      <w:r>
        <w:t xml:space="preserve">numerik tidak diperlakukan sebagai replikasi statistik independen.</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pPr>
              <w:pStyle w:val="Compact"/>
              <w:jc w:val="left"/>
            </w:pPr>
            <w:r>
              <w:t xml:space="preserve">Penelitian ini (2026)</w:t>
            </w:r>
          </w:p>
        </w:tc>
        <w:tc>
          <w:tcPr>
            <w:tcW w:w="0" w:type="auto"/>
            <w:hideMark/>
          </w:tcPr>
          <w:p>
            <w:pPr>
              <w:pStyle w:val="Compact"/>
              <w:jc w:val="left"/>
            </w:pPr>
            <w:r>
              <w:t xml:space="preserve">QLSTM sebagai penjadwal gain PI adaptif pada tingkat supervisori</w:t>
            </w:r>
          </w:p>
        </w:tc>
        <w:tc>
          <w:tcPr>
            <w:tcW w:w="0" w:type="auto"/>
            <w:hideMark/>
          </w:tcPr>
          <w:p>
            <w:pPr>
              <w:pStyle w:val="Compact"/>
              <w:jc w:val="left"/>
            </w:pPr>
            <w:r>
              <w:t xml:space="preserve">ELC PLTMH 100 kW pada sistem terisolasi</w:t>
            </w:r>
          </w:p>
        </w:tc>
        <w:tc>
          <w:tcPr>
            <w:tcW w:w="0" w:type="auto"/>
            <w:hideMark/>
          </w:tcPr>
          <w:p>
            <w:pPr>
              <w:pStyle w:val="Compact"/>
              <w:jc w:val="left"/>
            </w:pPr>
            <w:r>
              <w:t xml:space="preserve">QLSTM mempelajari pemetaan jendela temporal empat fitur terhadap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dibentuk melalui pencarian grid bertahap secara luring pada model simulasi. Keluaran model dikembalikan ke skala fisik, diperiksa keterhinggaannya, dibatasi pada</w:t>
            </w:r>
            <w:r>
              <w:t xml:space="preserve"> </w:t>
            </w:r>
            <w:r>
              <w:rPr>
                <w:iCs/>
                <w:i/>
              </w:rPr>
              <w:t xml:space="preserve">envelope</w:t>
            </w:r>
            <w:r>
              <w:t xml:space="preserve"> </w:t>
            </w:r>
            <w:r>
              <w:t xml:space="preserve">gain</w:t>
            </w:r>
            <w:r>
              <w:t xml:space="preserve"> </w:t>
            </w:r>
            <w:r>
              <w:rPr>
                <w:iCs/>
                <w:i/>
              </w:rPr>
              <w:t xml:space="preserve">admissible</w:t>
            </w:r>
            <w:r>
              <w:t xml:space="preserve">, kemudian dikenai pembatasan laju perubahan sebelum diterapkan pada PI pada interval pembaruan 10 Hz. Evaluasi primer dibatasi pada dua keluarga dinamik uji independen; G3 hanya digunakan sebagai diagnostik dalam distribusi.</w:t>
            </w:r>
          </w:p>
        </w:tc>
        <w:tc>
          <w:tcPr>
            <w:tcW w:w="3269" w:type="dxa"/>
            <w:hideMark/>
          </w:tcPr>
          <w:p>
            <w:pPr>
              <w:pStyle w:val="Compact"/>
              <w:jc w:val="left"/>
            </w:pPr>
            <w:r>
              <w:t xml:space="preserve">Mengintegrasikan pemodelan PLTMH–ELC, pembentukan target gain, pembelajaran temporal LSTM/QLSTM, dan evaluasi</w:t>
            </w:r>
            <w:r>
              <w:t xml:space="preserve"> </w:t>
            </w:r>
            <w:r>
              <w:rPr>
                <w:iCs/>
                <w:i/>
              </w:rPr>
              <w:t xml:space="preserve">closed-loop</w:t>
            </w:r>
            <w:r>
              <w:t xml:space="preserve"> </w:t>
            </w:r>
            <w:r>
              <w:t xml:space="preserve">PI gain tetap, LSTM–PI, serta QLSTM–PI dalam satu kerangka yang dapat ditelusuri. QLSTM dievaluasi secara empiris tanpa asumsi superioritas, tanpa klaim generalisasi G3 independen, dan tanpa klaim</w:t>
            </w:r>
            <w:r>
              <w:t xml:space="preserve"> </w:t>
            </w:r>
            <w:r>
              <w:rPr>
                <w:iCs/>
                <w:i/>
              </w:rPr>
              <w:t xml:space="preserve">quantum advantage</w:t>
            </w:r>
            <w:r>
              <w:t xml:space="preserve">.</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pPr>
        <w:pStyle w:val="FirstParagraph"/>
      </w:pPr>
      <w:r>
        <w:t xml:space="preserve">Kajian LSTM dan QLSTM menunjukkan bahwa kedua arsitektur dapat digunakan untuk</w:t>
      </w:r>
      <w:r>
        <w:t xml:space="preserve"> </w:t>
      </w:r>
      <w:r>
        <w:t xml:space="preserve">pemodelan data sekuensial, tetapi literatur tersebut tidak dengan sendirinya</w:t>
      </w:r>
      <w:r>
        <w:t xml:space="preserve"> </w:t>
      </w:r>
      <w:r>
        <w:t xml:space="preserve">membuktikan bahwa penambahan komponen kuantum akan menghasilkan kinerja yang</w:t>
      </w:r>
      <w:r>
        <w:t xml:space="preserve"> </w:t>
      </w:r>
      <w:r>
        <w:t xml:space="preserve">lebih baik pada penjadwalan gain ELC PLTMH. Karena itu, LSTM ditempatkan</w:t>
      </w:r>
      <w:r>
        <w:t xml:space="preserve"> </w:t>
      </w:r>
      <w:r>
        <w:t xml:space="preserve">sebagai pembanding klasik dengan target, data, dan mekanisme penerapan gain</w:t>
      </w:r>
      <w:r>
        <w:t xml:space="preserve"> </w:t>
      </w:r>
      <w:r>
        <w:t xml:space="preserve">yang sebanding.</w:t>
      </w:r>
    </w:p>
    <w:p>
      <w:pPr>
        <w:pStyle w:val="BodyText"/>
      </w:pPr>
      <w:r>
        <w:t xml:space="preserve">Posisi penelitian ini terletak pada integrasi jendela temporal kondisi operasi,</w:t>
      </w:r>
      <w:r>
        <w:t xml:space="preserve"> </w:t>
      </w:r>
      <w:r>
        <w:t xml:space="preserve">pembentukan target gain berbasis simulasi, serta penggunaan QLSTM sebagai</w:t>
      </w:r>
      <w:r>
        <w:t xml:space="preserve"> </w:t>
      </w:r>
      <w:r>
        <w:t xml:space="preserve">penjadwal gain PI pada tingkat supervisori.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melalui pencarian grid bertahap, sedangkan pada tahap</w:t>
      </w:r>
      <w:r>
        <w:t xml:space="preserve"> </w:t>
      </w:r>
      <w:r>
        <w:rPr>
          <w:iCs/>
          <w:i/>
        </w:rPr>
        <w:t xml:space="preserve">closed-loop</w:t>
      </w:r>
      <w:r>
        <w:t xml:space="preserve"> </w:t>
      </w:r>
      <w:r>
        <w:t xml:space="preserve">keluaran model dikembalikan ke skala fisik, diperiksa</w:t>
      </w:r>
      <w:r>
        <w:t xml:space="preserve"> </w:t>
      </w:r>
      <w:r>
        <w:t xml:space="preserve">keterhinggaannya, dibatasi pada</w:t>
      </w:r>
      <w:r>
        <w:t xml:space="preserve"> </w:t>
      </w:r>
      <w:r>
        <w:rPr>
          <w:iCs/>
          <w:i/>
        </w:rPr>
        <w:t xml:space="preserve">envelope</w:t>
      </w:r>
      <w:r>
        <w:t xml:space="preserve"> </w:t>
      </w:r>
      <w:r>
        <w:t xml:space="preserve">gain admissible, dan dikenai</w:t>
      </w:r>
      <w:r>
        <w:t xml:space="preserve"> </w:t>
      </w:r>
      <w:r>
        <w:t xml:space="preserve">pembatasan laju perubahan sebelum diterapkan pada PI. Mekanisme tersebut</w:t>
      </w:r>
      <w:r>
        <w:t xml:space="preserve"> </w:t>
      </w:r>
      <w:r>
        <w:t xml:space="preserve">digunakan secara identik pada LSTM–PI dan QLSTM–PI.</w:t>
      </w:r>
    </w:p>
    <w:p>
      <w:pPr>
        <w:pStyle w:val="BodyText"/>
      </w:pPr>
      <w:r>
        <w:t xml:space="preserve">Evaluasi kemampuan generalisasi primer dibatasi pada dua keluarga dinamik uji</w:t>
      </w:r>
      <w:r>
        <w:t xml:space="preserve"> </w:t>
      </w:r>
      <w:r>
        <w:t xml:space="preserve">independen dari regime G1 dan G2. Regime G3 tidak mempunyai keluarga uji</w:t>
      </w:r>
      <w:r>
        <w:t xml:space="preserve"> </w:t>
      </w:r>
      <w:r>
        <w:t xml:space="preserve">independen pada pembagian data akhir; karena itu, evaluasi G3 hanya diposisikan</w:t>
      </w:r>
      <w:r>
        <w:t xml:space="preserve"> </w:t>
      </w:r>
      <w:r>
        <w:t xml:space="preserve">sebagai diagnostik dalam distribusi dan bukan sebagai bukti generalisasi G3.</w:t>
      </w:r>
      <w:r>
        <w:t xml:space="preserve"> </w:t>
      </w:r>
      <w:r>
        <w:t xml:space="preserve">Posisi penelitian juga dibatasi pada simulasi numerik berbasis CPU dan</w:t>
      </w:r>
      <w:r>
        <w:t xml:space="preserve"> </w:t>
      </w:r>
      <w:r>
        <w:t xml:space="preserve">simulator kuantum PennyLane. Hasil tersebut tidak ditafsirkan sebagai bukti</w:t>
      </w:r>
      <w:r>
        <w:t xml:space="preserve"> </w:t>
      </w:r>
      <w:r>
        <w:rPr>
          <w:iCs/>
          <w:i/>
        </w:rPr>
        <w:t xml:space="preserve">quantum speedup</w:t>
      </w:r>
      <w:r>
        <w:t xml:space="preserve">,</w:t>
      </w:r>
      <w:r>
        <w:t xml:space="preserve"> </w:t>
      </w:r>
      <w:r>
        <w:rPr>
          <w:iCs/>
          <w:i/>
        </w:rPr>
        <w:t xml:space="preserve">quantum advantage</w:t>
      </w:r>
      <w:r>
        <w:t xml:space="preserve">, atau implementasi perangkat keras</w:t>
      </w:r>
      <w:r>
        <w:t xml:space="preserve"> </w:t>
      </w:r>
      <w:r>
        <w:t xml:space="preserve">kuantum.</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r>
        <w:t>Kerangka Evaluasi Penelitian</w:t>
      </w:r>
    </w:p>
    <w:p>
      <w:pPr>
        <w:pStyle w:val="FirstParagraph"/>
      </w:pPr>
      <w:r>
        <w:t xml:space="preserve">Penelitian ini tidak menetapkan hipotesis inferensial yang mengharuskan</w:t>
      </w:r>
      <w:r>
        <w:t xml:space="preserve"> </w:t>
      </w:r>
      <w:r>
        <w:t xml:space="preserve">QLSTM–PI lebih unggul daripada PI gain tetap atau LSTM–PI. QLSTM diperlakukan</w:t>
      </w:r>
      <w:r>
        <w:t xml:space="preserve"> </w:t>
      </w:r>
      <w:r>
        <w:t xml:space="preserve">sebagai metode yang diuji secara empiris sehingga hasil yang setara maupun</w:t>
      </w:r>
      <w:r>
        <w:t xml:space="preserve"> </w:t>
      </w:r>
      <w:r>
        <w:t xml:space="preserve">lebih rendah daripada pembanding tetap merupakan hasil penelitian yang sah.</w:t>
      </w:r>
    </w:p>
    <w:p>
      <w:pPr>
        <w:pStyle w:val="BodyText"/>
      </w:pPr>
      <w:r>
        <w:t xml:space="preserve">Evaluasi dilakukan pada dua tingkat. Tingkat pertama menilai kemampuan model</w:t>
      </w:r>
      <w:r>
        <w:t xml:space="preserve"> </w:t>
      </w:r>
      <w:r>
        <w:t xml:space="preserve">dalam mengestimasi pasangan gain</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pada data pengujian.</w:t>
      </w:r>
      <w:r>
        <w:t xml:space="preserve"> </w:t>
      </w:r>
      <w:r>
        <w:t xml:space="preserve">LSTM dan QLSTM dibandingkan menggunakan ukuran galat estimasi serta baseline</w:t>
      </w:r>
      <w:r>
        <w:t xml:space="preserve"> </w:t>
      </w:r>
      <w:r>
        <w:t xml:space="preserve">model yang telah ditetapkan. Hasil pada tingkat ini digunakan untuk memahami</w:t>
      </w:r>
      <w:r>
        <w:t xml:space="preserve"> </w:t>
      </w:r>
      <w:r>
        <w:t xml:space="preserve">kemampuan model mempelajari pemetaan kondisi temporal menuju target gain,</w:t>
      </w:r>
      <w:r>
        <w:t xml:space="preserve"> </w:t>
      </w:r>
      <w:r>
        <w:t xml:space="preserve">tetapi tidak digunakan sebagai satu-satunya dasar untuk menyimpulkan kinerja</w:t>
      </w:r>
      <w:r>
        <w:t xml:space="preserve"> </w:t>
      </w:r>
      <w:r>
        <w:t xml:space="preserve">pengendalian.</w:t>
      </w:r>
    </w:p>
    <w:p>
      <w:pPr>
        <w:pStyle w:val="BodyText"/>
      </w:pPr>
      <w:r>
        <w:t xml:space="preserve">Tingkat kedua menilai respons</w:t>
      </w:r>
      <w:r>
        <w:t xml:space="preserve"> </w:t>
      </w:r>
      <w:r>
        <w:rPr>
          <w:iCs/>
          <w:i/>
        </w:rPr>
        <w:t xml:space="preserve">closed-loop</w:t>
      </w:r>
      <w:r>
        <w:t xml:space="preserve"> </w:t>
      </w:r>
      <w:r>
        <w:t xml:space="preserve">PI gain tetap, LSTM–PI, dan</w:t>
      </w:r>
      <w:r>
        <w:t xml:space="preserve"> </w:t>
      </w:r>
      <w:r>
        <w:t xml:space="preserve">QLSTM–PI. Klaim primer dibatasi pada dua keluarga dinamik uji independen,</w:t>
      </w:r>
      <w:r>
        <w:t xml:space="preserve"> </w:t>
      </w:r>
      <w:r>
        <w:t xml:space="preserve">sedangkan skenario</w:t>
      </w:r>
      <w:r>
        <w:t xml:space="preserve"> </w:t>
      </w:r>
      <w:r>
        <w:rPr>
          <w:iCs/>
          <w:i/>
        </w:rPr>
        <w:t xml:space="preserve">boundary stress</w:t>
      </w:r>
      <w:r>
        <w:t xml:space="preserve"> </w:t>
      </w:r>
      <w:r>
        <w:t xml:space="preserve">dan diagnostik G3 digunakan sebagai bukti</w:t>
      </w:r>
      <w:r>
        <w:t xml:space="preserve"> </w:t>
      </w:r>
      <w:r>
        <w:t xml:space="preserve">sekunder sesuai ruang lingkupnya. RMSE deviasi frekuensi menjadi metrik primer,</w:t>
      </w:r>
      <w:r>
        <w:t xml:space="preserve"> </w:t>
      </w:r>
      <w:r>
        <w:t xml:space="preserve">dengan respons dinamik, aktivitas kendali, lintasan gain, dan beban komputasi</w:t>
      </w:r>
      <w:r>
        <w:t xml:space="preserve"> </w:t>
      </w:r>
      <w:r>
        <w:t xml:space="preserve">sebagai indikator pendukung.</w:t>
      </w:r>
    </w:p>
    <w:p>
      <w:pPr>
        <w:pStyle w:val="BodyText"/>
      </w:pPr>
      <w:r>
        <w:t xml:space="preserve">Karena hanya tersedia dua keluarga primer independen, penelitian tidak</w:t>
      </w:r>
      <w:r>
        <w:t xml:space="preserve"> </w:t>
      </w:r>
      <w:r>
        <w:t xml:space="preserve">melakukan pengujian signifikansi statistik antar-konfigurasi pengendali.</w:t>
      </w:r>
      <w:r>
        <w:t xml:space="preserve"> </w:t>
      </w:r>
      <w:r>
        <w:t xml:space="preserve">Kesimpulan ditarik secara deskriptif berdasarkan arah dan besar perbedaan</w:t>
      </w:r>
      <w:r>
        <w:t xml:space="preserve"> </w:t>
      </w:r>
      <w:r>
        <w:t xml:space="preserve">kinerja pada unit evaluasi yang benar-benar independen. Pendekatan ini juga</w:t>
      </w:r>
      <w:r>
        <w:t xml:space="preserve"> </w:t>
      </w:r>
      <w:r>
        <w:t xml:space="preserve">mencegah ribuan titik waktu hasil integrasi numerik diperlakukan secara keliru</w:t>
      </w:r>
      <w:r>
        <w:t xml:space="preserve"> </w:t>
      </w:r>
      <w:r>
        <w:t xml:space="preserve">sebagai replikasi eksperimen independen.</w:t>
      </w:r>
    </w:p>
    <w:p>
      <w:pPr>
        <w:pStyle w:val="BodyText"/>
      </w:pPr>
      <w:r>
        <w:t xml:space="preserve">Kerangka evaluasi tersebut mempertahankan prinsip falsifiabilitas penelitian.</w:t>
      </w:r>
      <w:r>
        <w:t xml:space="preserve"> </w:t>
      </w:r>
      <w:r>
        <w:t xml:space="preserve">Apabila QLSTM–PI tidak lebih baik daripada LSTM–PI atau PI gain tetap pada</w:t>
      </w:r>
      <w:r>
        <w:t xml:space="preserve"> </w:t>
      </w:r>
      <w:r>
        <w:t xml:space="preserve">konfigurasi yang diuji, hasil tersebut dipertahankan tanpa penalaan ulang</w:t>
      </w:r>
      <w:r>
        <w:t xml:space="preserve"> </w:t>
      </w:r>
      <w:r>
        <w:t xml:space="preserve">pascahasil, pergantian skenario primer, atau perubahan aturan scheduler.</w:t>
      </w:r>
    </w:p>
    <w:p w14:paraId="00000020" w14:textId="5BC2E599" w:rsidR="00547661" w:rsidRPr="002B0109" w:rsidRDefault="00665C9A" w:rsidP="008531DB">
      <w:pPr>
        <w:pStyle w:val="Heading1"/>
        <w:pageBreakBefore/>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pPr>
        <w:pStyle w:val="FirstParagraph"/>
      </w:pPr>
      <w:r>
        <w:t xml:space="preserve">Penelitian ini menggunakan pendekatan eksperimen komputasional berbasis</w:t>
      </w:r>
      <w:r>
        <w:t xml:space="preserve"> </w:t>
      </w:r>
      <w:r>
        <w:t xml:space="preserve">simulasi untuk mengevaluasi penjadwalan gain PI pada ELC PLTMH terisolasi.</w:t>
      </w:r>
      <w:r>
        <w:t xml:space="preserve"> </w:t>
      </w:r>
      <w:r>
        <w:t xml:space="preserve">Tahapan penelitian mencakup validasi model PLTMH–ELC, penetapan PI gain tetap,</w:t>
      </w:r>
      <w:r>
        <w:t xml:space="preserve"> </w:t>
      </w:r>
      <w:r>
        <w:t xml:space="preserve">pembentukan target gain secara luring, pembentukan dataset temporal, pelatihan</w:t>
      </w:r>
      <w:r>
        <w:t xml:space="preserve"> </w:t>
      </w:r>
      <w:r>
        <w:t xml:space="preserve">LSTM dan QLSTM, integrasi kedua model sebagai scheduler gain, serta evaluasi</w:t>
      </w:r>
      <w:r>
        <w:t xml:space="preserve"> </w:t>
      </w:r>
      <w:r>
        <w:t xml:space="preserve">closed-loop menggunakan protokol yang dibekukan sebelum hasil akhir diketahui.</w:t>
      </w:r>
    </w:p>
    <w:p>
      <w:pPr>
        <w:pStyle w:val="BodyText"/>
      </w:pPr>
      <w:r>
        <w:t xml:space="preserve">Variabel perlakuan pada tahap closed-loop adalah konfigurasi pengendali:</w:t>
      </w:r>
      <w:r>
        <w:t xml:space="preserve"> </w:t>
      </w:r>
      <w:r>
        <w:t xml:space="preserve">PI gain tetap, LSTM–PI, dan QLSTM–PI. Unit independen utama untuk evaluasi</w:t>
      </w:r>
      <w:r>
        <w:t xml:space="preserve"> </w:t>
      </w:r>
      <w:r>
        <w:t xml:space="preserve">generalization adalah keluarga dinamik, bukan titik waktu integrasi numerik</w:t>
      </w:r>
      <w:r>
        <w:t xml:space="preserve"> </w:t>
      </w:r>
      <w:r>
        <w:t xml:space="preserve">maupun satu baris dataset. Dua keluarga dinamik uji independen digunakan</w:t>
      </w:r>
      <w:r>
        <w:t xml:space="preserve"> </w:t>
      </w:r>
      <w:r>
        <w:t xml:space="preserve">sebagai bukti primer, sedangkan skenario boundary stress dan diagnostik G3</w:t>
      </w:r>
      <w:r>
        <w:t xml:space="preserve"> </w:t>
      </w:r>
      <w:r>
        <w:t xml:space="preserve">dilaporkan secara terpisah sesuai fungsi masing-masing.</w:t>
      </w:r>
    </w:p>
    <w:p>
      <w:pPr>
        <w:pStyle w:val="BodyText"/>
      </w:pPr>
      <w:r>
        <w:t xml:space="preserve">Metrik primer penelitian adalah RMSE deviasi frekuensi pada periode</w:t>
      </w:r>
      <w:r>
        <w:t xml:space="preserve"> </w:t>
      </w:r>
      <w:r>
        <w:t xml:space="preserve">pascagangguan. Simpangan puncak, RoCoF, waktu tunak, galat frekuensi akhir,</w:t>
      </w:r>
      <w:r>
        <w:t xml:space="preserve"> </w:t>
      </w:r>
      <w:r>
        <w:t xml:space="preserve">aktivitas beban buangan, lintasan gain, variasi duty, saturasi atau fallback,</w:t>
      </w:r>
      <w:r>
        <w:t xml:space="preserve"> </w:t>
      </w:r>
      <w:r>
        <w:t xml:space="preserve">dan beban komputasi digunakan sebagai indikator pendukung. Analisis bersifat</w:t>
      </w:r>
      <w:r>
        <w:t xml:space="preserve"> </w:t>
      </w:r>
      <w:r>
        <w:t xml:space="preserve">deskriptif karena jumlah keluarga uji independen tidak memadai untuk klaim</w:t>
      </w:r>
      <w:r>
        <w:t xml:space="preserve"> </w:t>
      </w:r>
      <w:r>
        <w:t xml:space="preserve">signifikansi statistik.</w:t>
      </w:r>
    </w:p>
    <w:p>
      <w:pPr>
        <w:pStyle w:val="BodyText"/>
      </w:pPr>
      <w:r>
        <w:t xml:space="preserve">Rentang keluaran gain yang digunakan selama evaluasi merupakan envelope gain</w:t>
      </w:r>
      <w:r>
        <w:t xml:space="preserve"> </w:t>
      </w:r>
      <w:r>
        <w:t xml:space="preserve">admissible yang dibekukan dari ruang label supervised. Rentang tersebut tidak</w:t>
      </w:r>
      <w:r>
        <w:t xml:space="preserve"> </w:t>
      </w:r>
      <w:r>
        <w:t xml:space="preserve">ditafsirkan sebagai jaminan kestabilan fisik universal PLTMH. Penelitian juga</w:t>
      </w:r>
      <w:r>
        <w:t xml:space="preserve"> </w:t>
      </w:r>
      <w:r>
        <w:t xml:space="preserve">tidak menetapkan keberhasilan berdasarkan keharusan QLSTM mengungguli LSTM</w:t>
      </w:r>
      <w:r>
        <w:t xml:space="preserve"> </w:t>
      </w:r>
      <w:r>
        <w:t xml:space="preserve">atau PI gain tetap; hasil setara maupun lebih rendah tetap dipertahankan sebagai</w:t>
      </w:r>
      <w:r>
        <w:t xml:space="preserve"> </w:t>
      </w:r>
      <w:r>
        <w:t xml:space="preserve">hasil empiris yang sah.</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pPr>
        <w:pStyle w:val="FirstParagraph"/>
      </w:pPr>
      <w:r>
        <w:t xml:space="preserve">Penelitian dilaksanakan secara komputasional menggunakan alur kerja berbasis</w:t>
      </w:r>
      <w:r>
        <w:t xml:space="preserve"> </w:t>
      </w:r>
      <w:r>
        <w:t xml:space="preserve">Python yang terdokumentasi dalam notebook proyek dan repositori GitHub.</w:t>
      </w:r>
      <w:r>
        <w:t xml:space="preserve"> </w:t>
      </w:r>
      <w:r>
        <w:t xml:space="preserve">Pemodelan, pembentukan dataset, pelatihan model, simulasi closed-loop, serta</w:t>
      </w:r>
      <w:r>
        <w:t xml:space="preserve"> </w:t>
      </w:r>
      <w:r>
        <w:t xml:space="preserve">analisis hasil dilakukan dalam lingkungan komputasi yang dapat direproduksi</w:t>
      </w:r>
      <w:r>
        <w:t xml:space="preserve"> </w:t>
      </w:r>
      <w:r>
        <w:t xml:space="preserve">dari artefak proyek yang dibekukan.</w:t>
      </w:r>
    </w:p>
    <w:p>
      <w:pPr>
        <w:pStyle w:val="BodyText"/>
      </w:pPr>
      <w:r>
        <w:t xml:space="preserve">LSTM direalisasikan menggunakan PyTorch. QLSTM dikembangkan sebagai model</w:t>
      </w:r>
      <w:r>
        <w:t xml:space="preserve"> </w:t>
      </w:r>
      <w:r>
        <w:t xml:space="preserve">hybrid quantum–classical menggunakan PyTorch dan PennyLane, dengan eksekusi</w:t>
      </w:r>
      <w:r>
        <w:t xml:space="preserve"> </w:t>
      </w:r>
      <w:r>
        <w:t xml:space="preserve">akhir pada CPU. Implementasi final tidak menggunakan perangkat keras kuantum.</w:t>
      </w:r>
      <w:r>
        <w:t xml:space="preserve"> </w:t>
      </w:r>
      <w:r>
        <w:t xml:space="preserve">MATLAB/Simulink dan Qiskit tidak digunakan sebagai lingkungan utama untuk</w:t>
      </w:r>
      <w:r>
        <w:t xml:space="preserve"> </w:t>
      </w:r>
      <w:r>
        <w:t xml:space="preserve">menghasilkan hasil eksperimen final yang dilaporkan.</w:t>
      </w:r>
    </w:p>
    <w:p>
      <w:pPr>
        <w:pStyle w:val="BodyText"/>
      </w:pPr>
      <w:r>
        <w:t xml:space="preserve">Tahapan komputasi direpresentasikan oleh notebook pembentukan dataset,</w:t>
      </w:r>
      <w:r>
        <w:t xml:space="preserve"> </w:t>
      </w:r>
      <w:r>
        <w:t xml:space="preserve">prapengolahan, pelatihan LSTM, pelatihan QLSTM, pengujian closed-loop, dan</w:t>
      </w:r>
      <w:r>
        <w:t xml:space="preserve"> </w:t>
      </w:r>
      <w:r>
        <w:t xml:space="preserve">analisis akhir. Tahap analisis akhir difokuskan pada perbandingan deskriptif</w:t>
      </w:r>
      <w:r>
        <w:t xml:space="preserve"> </w:t>
      </w:r>
      <w:r>
        <w:t xml:space="preserve">ketiga konfigurasi pengendali dan beban komputasinya, bukan pada pengujian</w:t>
      </w:r>
      <w:r>
        <w:t xml:space="preserve"> </w:t>
      </w:r>
      <w:r>
        <w:t xml:space="preserve">signifikansi inferensial.</w:t>
      </w:r>
    </w:p>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pPr>
        <w:pStyle w:val="FirstParagraph"/>
      </w:pPr>
      <w:r>
        <w:t xml:space="preserve">Model penelitian merepresentasikan PLTMH terisolasi berkapasitas nominal</w:t>
      </w:r>
      <w:r>
        <w:t xml:space="preserve"> </w:t>
      </w:r>
      <w:r>
        <w:t xml:space="preserve">100 kW yang terhubung dengan generator sinkron, beban konsumen, pengendali PI,</w:t>
      </w:r>
      <w:r>
        <w:t xml:space="preserve"> </w:t>
      </w:r>
      <w:r>
        <w:t xml:space="preserve">dan Electronic Load Controller (ELC). Keseimbangan daya dijaga dengan</w:t>
      </w:r>
      <w:r>
        <w:t xml:space="preserve"> </w:t>
      </w:r>
      <w:r>
        <w:t xml:space="preserve">mengalihkan selisih daya ke beban buangan resistif sehingga perubahan daya</w:t>
      </w:r>
      <w:r>
        <w:t xml:space="preserve"> </w:t>
      </w:r>
      <w:r>
        <w:t xml:space="preserve">beban konsumen dapat dikompensasi oleh ELC.</w:t>
      </w:r>
    </w:p>
    <w:p>
      <w:pPr>
        <w:pStyle w:val="BodyText"/>
      </w:pPr>
      <w:r>
        <w:t xml:space="preserve">Dinamika frekuensi mengikuti hubungan keseimbangan antara daya mekanik dan</w:t>
      </w:r>
      <w:r>
        <w:t xml:space="preserve"> </w:t>
      </w:r>
      <w:r>
        <w:t xml:space="preserve">daya elektrik sebagaimana dirumuskan pada Bab II. Pada model primer yang</w:t>
      </w:r>
      <w:r>
        <w:t xml:space="preserve"> </w:t>
      </w:r>
      <w:r>
        <w:t xml:space="preserve">digunakan untuk memperoleh hasil akhir, daya mekanik diperlakukan konstan</w:t>
      </w:r>
      <w:r>
        <w:t xml:space="preserve"> </w:t>
      </w:r>
      <w:r>
        <w:t xml:space="preserve">selama satu simulasi closed-loop. Oleh karena itu, dinamika governor, bukaan</w:t>
      </w:r>
      <w:r>
        <w:t xml:space="preserve"> </w:t>
      </w:r>
      <w:r>
        <w:t xml:space="preserve">katup atau gate, waterway, dan model hidraulik rinci tidak dimasukkan ke dalam</w:t>
      </w:r>
      <w:r>
        <w:t xml:space="preserve"> </w:t>
      </w:r>
      <w:r>
        <w:t xml:space="preserve">scope hasil utama.</w:t>
      </w:r>
    </w:p>
    <w:p>
      <w:pPr>
        <w:pStyle w:val="BodyText"/>
      </w:pPr>
      <w:r>
        <w:t xml:space="preserve">ELC dimodelkan menggunakan representasi averaged sehingga aksi pengalihan daya</w:t>
      </w:r>
      <w:r>
        <w:t xml:space="preserve"> </w:t>
      </w:r>
      <w:r>
        <w:t xml:space="preserve">beban buangan direpresentasikan pada tingkat daya rata-rata. Model ini tidak</w:t>
      </w:r>
      <w:r>
        <w:t xml:space="preserve"> </w:t>
      </w:r>
      <w:r>
        <w:t xml:space="preserve">mensimulasikan detail switching individual IGBT/PWM pada skala waktu</w:t>
      </w:r>
      <w:r>
        <w:t xml:space="preserve"> </w:t>
      </w:r>
      <w:r>
        <w:t xml:space="preserve">elektronika daya. Pendekatan averaged dipilih agar evaluasi difokuskan pada</w:t>
      </w:r>
      <w:r>
        <w:t xml:space="preserve"> </w:t>
      </w:r>
      <w:r>
        <w:t xml:space="preserve">dinamika frekuensi dan pengaruh perubahan gain PI pada tingkat supervisori.</w:t>
      </w:r>
    </w:p>
    <w:p>
      <w:pPr>
        <w:pStyle w:val="BodyText"/>
      </w:pPr>
      <w:r>
        <w:t xml:space="preserve">Scope tersebut digunakan secara konsisten pada pembentukan bukti closed-loop.</w:t>
      </w:r>
      <w:r>
        <w:t xml:space="preserve"> </w:t>
      </w:r>
      <w:r>
        <w:t xml:space="preserve">Dengan demikian, kesimpulan penelitian dibatasi pada model ELC averaged,</w:t>
      </w:r>
      <w:r>
        <w:t xml:space="preserve"> </w:t>
      </w:r>
      <w:r>
        <w:t xml:space="preserve">daya mekanik konstan, simulasi deterministik, serta kebijakan observasi dan</w:t>
      </w:r>
      <w:r>
        <w:t xml:space="preserve"> </w:t>
      </w:r>
      <w:r>
        <w:t xml:space="preserve">pembaruan gain yang telah dibekukan.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pPr>
        <w:pStyle w:val="FirstParagraph"/>
      </w:pPr>
      <w:r>
        <w:t xml:space="preserve">Konfigurasi PI gain tetap digunakan sebagai pembanding utama sekaligus nilai</w:t>
      </w:r>
      <w:r>
        <w:t xml:space="preserve"> </w:t>
      </w:r>
      <w:r>
        <w:t xml:space="preserve">fallback bagi kedua scheduler adaptif. Pasangan yang dibekukan pada tahap</w:t>
      </w:r>
      <w:r>
        <w:t xml:space="preserve"> </w:t>
      </w:r>
      <w:r>
        <w:t xml:space="preserve">akhir penelitian adalah</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Pasangan tersebut</w:t>
      </w:r>
      <w:r>
        <w:t xml:space="preserve"> </w:t>
      </w:r>
      <w:r>
        <w:t xml:space="preserve">digunakan secara identik ketika model adaptif belum diaktifkan atau ketika</w:t>
      </w:r>
      <w:r>
        <w:t xml:space="preserve"> </w:t>
      </w:r>
      <w:r>
        <w:t xml:space="preserve">inferensi menghasilkan keluaran yang tidak dapat diterapkan.</w:t>
      </w:r>
    </w:p>
    <w:p>
      <w:pPr>
        <w:pStyle w:val="BodyText"/>
      </w:pPr>
      <w:r>
        <w:t xml:space="preserve">Rentang gain untuk keluaran scheduler mengikuti</w:t>
      </w:r>
      <w:r>
        <w:t xml:space="preserve"> </w:t>
      </w:r>
      <w:r>
        <w:rPr>
          <w:iCs/>
          <w:i/>
        </w:rPr>
        <w:t xml:space="preserve">envelope</w:t>
      </w:r>
      <w:r>
        <w:t xml:space="preserve"> </w:t>
      </w:r>
      <w:r>
        <w:t xml:space="preserve">gain</w:t>
      </w:r>
      <w:r>
        <w:t xml:space="preserve"> </w:t>
      </w:r>
      <w:r>
        <w:rPr>
          <w:iCs/>
          <w:i/>
        </w:rPr>
        <w:t xml:space="preserve">admissible</w:t>
      </w:r>
      <w:r>
        <w:t xml:space="preserve"> </w:t>
      </w:r>
      <w:r>
        <w:t xml:space="preserve">final,</w:t>
      </w:r>
    </w:p>
    <w:p>
      <w:pPr>
        <w:pStyle w:val="BodyText"/>
      </w:pPr>
      <m:oMathPara>
        <m:oMathParaPr>
          <m:jc m:val="center"/>
        </m:oMathParaPr>
        <m:oMath>
          <m:r>
            <m:t>2</m:t>
          </m:r>
          <m:r>
            <m:rPr>
              <m:sty m:val="p"/>
            </m:rPr>
            <m:t>,</m:t>
          </m:r>
          <m:r>
            <m:t>16</m:t>
          </m:r>
          <m:r>
            <m:rPr>
              <m:sty m:val="p"/>
            </m:rPr>
            <m:t>≤</m:t>
          </m:r>
          <m:sSub>
            <m:e>
              <m:r>
                <m:t>K</m:t>
              </m:r>
            </m:e>
            <m:sub>
              <m:r>
                <m:t>p</m:t>
              </m:r>
            </m:sub>
          </m:sSub>
          <m:r>
            <m:rPr>
              <m:sty m:val="p"/>
            </m:rPr>
            <m:t>≤</m:t>
          </m:r>
          <m:r>
            <m:t>3</m:t>
          </m:r>
          <m:r>
            <m:rPr>
              <m:sty m:val="p"/>
            </m:rPr>
            <m:t>,</m:t>
          </m:r>
          <m:r>
            <m:t>36</m:t>
          </m:r>
          <m:r>
            <m:rPr>
              <m:sty m:val="p"/>
            </m:rPr>
            <m:t>,</m:t>
          </m:r>
          <m:r>
            <m:t>  </m:t>
          </m:r>
          <m:r>
            <m:t>3</m:t>
          </m:r>
          <m:r>
            <m:rPr>
              <m:sty m:val="p"/>
            </m:rPr>
            <m:t>,</m:t>
          </m:r>
          <m:r>
            <m:t>0368</m:t>
          </m:r>
          <m:r>
            <m:rPr>
              <m:sty m:val="p"/>
            </m:rPr>
            <m:t>≤</m:t>
          </m:r>
          <m:sSub>
            <m:e>
              <m:r>
                <m:t>K</m:t>
              </m:r>
            </m:e>
            <m:sub>
              <m:r>
                <m:t>i</m:t>
              </m:r>
            </m:sub>
          </m:sSub>
          <m:r>
            <m:rPr>
              <m:sty m:val="p"/>
            </m:rPr>
            <m:t>≤</m:t>
          </m:r>
          <m:r>
            <m:t>14</m:t>
          </m:r>
          <m:r>
            <m:rPr>
              <m:sty m:val="p"/>
            </m:rPr>
            <m:t>,</m:t>
          </m:r>
          <m:r>
            <m:t>144</m:t>
          </m:r>
          <m:r>
            <m:rPr>
              <m:sty m:val="p"/>
            </m:rPr>
            <m:t>.</m:t>
          </m:r>
        </m:oMath>
      </m:oMathPara>
    </w:p>
    <w:p>
      <w:pPr>
        <w:pStyle w:val="FirstParagraph"/>
      </w:pPr>
      <w:r>
        <w:t xml:space="preserve">Rentang tersebut diturunkan dari</w:t>
      </w:r>
      <w:r>
        <w:t xml:space="preserve"> </w:t>
      </w:r>
      <w:r>
        <w:rPr>
          <w:iCs/>
          <w:i/>
        </w:rPr>
        <w:t xml:space="preserve">envelope</w:t>
      </w:r>
      <w:r>
        <w:t xml:space="preserve"> </w:t>
      </w:r>
      <w:r>
        <w:t xml:space="preserve">label supervised yang telah</w:t>
      </w:r>
      <w:r>
        <w:t xml:space="preserve"> </w:t>
      </w:r>
      <w:r>
        <w:t xml:space="preserve">difinalkan sebelum pengujian</w:t>
      </w:r>
      <w:r>
        <w:t xml:space="preserve"> </w:t>
      </w:r>
      <w:r>
        <w:rPr>
          <w:iCs/>
          <w:i/>
        </w:rPr>
        <w:t xml:space="preserve">closed-loop</w:t>
      </w:r>
      <w:r>
        <w:t xml:space="preserve">. Oleh karena itu, istilah</w:t>
      </w:r>
      <w:r>
        <w:t xml:space="preserve"> </w:t>
      </w:r>
      <w:r>
        <w:rPr>
          <w:iCs/>
          <w:i/>
        </w:rPr>
        <w:t xml:space="preserve">admissible</w:t>
      </w:r>
      <w:r>
        <w:t xml:space="preserve"> </w:t>
      </w:r>
      <w:r>
        <w:t xml:space="preserve">digunakan untuk menunjukkan batas operasional yang diterapkan</w:t>
      </w:r>
      <w:r>
        <w:t xml:space="preserve"> </w:t>
      </w:r>
      <w:r>
        <w:t xml:space="preserve">dalam eksperimen, bukan sebagai jaminan kestabilan fisik universal untuk</w:t>
      </w:r>
      <w:r>
        <w:t xml:space="preserve"> </w:t>
      </w:r>
      <w:r>
        <w:t xml:space="preserve">seluruh kemungkinan kondisi PLTMH.</w:t>
      </w:r>
    </w:p>
    <w:p>
      <w:pPr>
        <w:pStyle w:val="BodyText"/>
      </w:pPr>
      <w:r>
        <w:t xml:space="preserve">Kebijakan batas gain yang sama digunakan pada LSTM–PI dan QLSTM–PI.</w:t>
      </w:r>
      <w:r>
        <w:t xml:space="preserve"> </w:t>
      </w:r>
      <w:r>
        <w:t xml:space="preserve">Pemilihan batas, pasangan fallback, serta pembatas laju perubahan gain tidak</w:t>
      </w:r>
      <w:r>
        <w:t xml:space="preserve"> </w:t>
      </w:r>
      <w:r>
        <w:t xml:space="preserve">diubah setelah hasil pengujian</w:t>
      </w:r>
      <w:r>
        <w:t xml:space="preserve"> </w:t>
      </w:r>
      <w:r>
        <w:rPr>
          <w:iCs/>
          <w:i/>
        </w:rPr>
        <w:t xml:space="preserve">closed-loop</w:t>
      </w:r>
      <w:r>
        <w:t xml:space="preserve"> </w:t>
      </w:r>
      <w:r>
        <w:t xml:space="preserve">diketahui.</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pPr>
        <w:pStyle w:val="FirstParagraph"/>
      </w:pPr>
      <w:r>
        <w:t xml:space="preserve">Evaluasi</w:t>
      </w:r>
      <w:r>
        <w:t xml:space="preserve"> </w:t>
      </w:r>
      <w:r>
        <w:rPr>
          <w:iCs/>
          <w:i/>
        </w:rPr>
        <w:t xml:space="preserve">closed-loop</w:t>
      </w:r>
      <w:r>
        <w:t xml:space="preserve"> </w:t>
      </w:r>
      <w:r>
        <w:t xml:space="preserve">akhir menggunakan empat skenario deterministik yang</w:t>
      </w:r>
      <w:r>
        <w:t xml:space="preserve"> </w:t>
      </w:r>
      <w:r>
        <w:t xml:space="preserve">ditetapkan sebelum hasil pengujian diketahui. Setiap skenario dijalankan</w:t>
      </w:r>
      <w:r>
        <w:t xml:space="preserve"> </w:t>
      </w:r>
      <w:r>
        <w:t xml:space="preserve">menggunakan tiga konfigurasi pengendali, yaitu PI gain tetap, LSTM–PI, dan</w:t>
      </w:r>
      <w:r>
        <w:t xml:space="preserve"> </w:t>
      </w:r>
      <w:r>
        <w:t xml:space="preserve">QLSTM–PI, sehingga keseluruhan tahap evaluasi menghasilkan 12</w:t>
      </w:r>
      <w:r>
        <w:t xml:space="preserve"> </w:t>
      </w:r>
      <w:r>
        <w:rPr>
          <w:iCs/>
          <w:i/>
        </w:rPr>
        <w:t xml:space="preserve">run</w:t>
      </w:r>
      <w:r>
        <w:t xml:space="preserve"> </w:t>
      </w:r>
      <w:r>
        <w:t xml:space="preserve">deterministik.</w:t>
      </w:r>
    </w:p>
    <w:p>
      <w:pPr>
        <w:pStyle w:val="BodyText"/>
      </w:pPr>
      <w:r>
        <w:t xml:space="preserve">CL01 dan CL02 merupakan skenario primer pada dua keluarga dinamik uji</w:t>
      </w:r>
      <w:r>
        <w:t xml:space="preserve"> </w:t>
      </w:r>
      <w:r>
        <w:t xml:space="preserve">independen, yaitu D40_L-20 dan D20_L+10. Kedua keluarga tersebut digunakan</w:t>
      </w:r>
      <w:r>
        <w:t xml:space="preserve"> </w:t>
      </w:r>
      <w:r>
        <w:t xml:space="preserve">sebagai unit utama untuk membandingkan ketiga konfigurasi pengendali. CL03</w:t>
      </w:r>
      <w:r>
        <w:t xml:space="preserve"> </w:t>
      </w:r>
      <w:r>
        <w:t xml:space="preserve">diposisikan sebagai</w:t>
      </w:r>
      <w:r>
        <w:t xml:space="preserve"> </w:t>
      </w:r>
      <w:r>
        <w:rPr>
          <w:iCs/>
          <w:i/>
        </w:rPr>
        <w:t xml:space="preserve">boundary stress</w:t>
      </w:r>
      <w:r>
        <w:t xml:space="preserve"> </w:t>
      </w:r>
      <w:r>
        <w:t xml:space="preserve">dan dilaporkan terpisah dari klaim</w:t>
      </w:r>
      <w:r>
        <w:t xml:space="preserve"> </w:t>
      </w:r>
      <w:r>
        <w:t xml:space="preserve">primer. CL04 digunakan sebagai diagnostik dalam distribusi untuk regime G3.</w:t>
      </w:r>
      <w:r>
        <w:t xml:space="preserve"> </w:t>
      </w:r>
      <w:r>
        <w:t xml:space="preserve">Karena G3 tidak mempunyai keluarga uji independen pada pembagian data final,</w:t>
      </w:r>
      <w:r>
        <w:t xml:space="preserve"> </w:t>
      </w:r>
      <w:r>
        <w:t xml:space="preserve">CL04 tidak digunakan sebagai bukti generalisasi independen terhadap G3.</w:t>
      </w:r>
    </w:p>
    <w:p>
      <w:pPr>
        <w:pStyle w:val="BodyText"/>
      </w:pPr>
      <w:r>
        <w:t xml:space="preserve">Gangguan</w:t>
      </w:r>
      <w:r>
        <w:t xml:space="preserve"> </w:t>
      </w:r>
      <w:r>
        <w:rPr>
          <w:iCs/>
          <w:i/>
        </w:rPr>
        <w:t xml:space="preserve">closed-loop</w:t>
      </w:r>
      <w:r>
        <w:t xml:space="preserve"> </w:t>
      </w:r>
      <w:r>
        <w:t xml:space="preserve">diterapkan pada</w:t>
      </w:r>
      <w:r>
        <w:t xml:space="preserve"> </w:t>
      </w:r>
      <m:oMath>
        <m:r>
          <m:t>t</m:t>
        </m:r>
        <m:r>
          <m:rPr>
            <m:sty m:val="p"/>
          </m:rPr>
          <m:t>=</m:t>
        </m:r>
        <m:r>
          <m:t>2</m:t>
        </m:r>
        <m:r>
          <m:rPr>
            <m:sty m:val="p"/>
          </m:rPr>
          <m:t>,</m:t>
        </m:r>
        <m:r>
          <m:t>5</m:t>
        </m:r>
      </m:oMath>
      <w:r>
        <w:t xml:space="preserve"> </w:t>
      </w:r>
      <w:r>
        <w:t xml:space="preserve">s. Scheduler adaptif baru</w:t>
      </w:r>
      <w:r>
        <w:t xml:space="preserve"> </w:t>
      </w:r>
      <w:r>
        <w:t xml:space="preserve">diizinkan melakukan pembaruan gain pertama pada</w:t>
      </w:r>
      <w:r>
        <w:t xml:space="preserve"> </w:t>
      </w:r>
      <m:oMath>
        <m:r>
          <m:t>t</m:t>
        </m:r>
        <m:r>
          <m:rPr>
            <m:sty m:val="p"/>
          </m:rPr>
          <m:t>=</m:t>
        </m:r>
        <m:r>
          <m:t>2</m:t>
        </m:r>
        <m:r>
          <m:rPr>
            <m:sty m:val="p"/>
          </m:rPr>
          <m:t>,</m:t>
        </m:r>
        <m:r>
          <m:t>6</m:t>
        </m:r>
      </m:oMath>
      <w:r>
        <w:t xml:space="preserve"> </w:t>
      </w:r>
      <w:r>
        <w:t xml:space="preserve">s, sedangkan</w:t>
      </w:r>
      <w:r>
        <w:t xml:space="preserve"> </w:t>
      </w:r>
      <w:r>
        <w:t xml:space="preserve">sebelum pembaruan tersebut sistem menggunakan PI gain tetap. Rancangan ini</w:t>
      </w:r>
      <w:r>
        <w:t xml:space="preserve"> </w:t>
      </w:r>
      <w:r>
        <w:t xml:space="preserve">dibekukan sebelum hasil respons ketiga pengendali diketahui.</w:t>
      </w:r>
    </w:p>
    <w:p>
      <w:pPr>
        <w:pStyle w:val="BodyText"/>
      </w:pPr>
      <w:r>
        <w:t xml:space="preserve">Tahap evaluasi primer tidak menggunakan gangguan</w:t>
      </w:r>
      <w:r>
        <w:t xml:space="preserve"> </w:t>
      </w:r>
      <w:r>
        <w:rPr>
          <w:iCs/>
          <w:i/>
        </w:rPr>
        <w:t xml:space="preserve">multi-step</w:t>
      </w:r>
      <w:r>
        <w:t xml:space="preserve">, variasi acak,</w:t>
      </w:r>
      <w:r>
        <w:t xml:space="preserve"> </w:t>
      </w:r>
      <w:r>
        <w:t xml:space="preserve">atau pengulangan stokastik sebagai sumber bukti utama. Simulasi Monte Carlo</w:t>
      </w:r>
      <w:r>
        <w:t xml:space="preserve"> </w:t>
      </w:r>
      <w:r>
        <w:t xml:space="preserve">juga tidak menjadi bagian dari tahap evaluasi primer karena simulator akhir</w:t>
      </w:r>
      <w:r>
        <w:t xml:space="preserve"> </w:t>
      </w:r>
      <w:r>
        <w:t xml:space="preserve">bersifat deterministik dan penelitian tidak menetapkan distribusi</w:t>
      </w:r>
      <w:r>
        <w:t xml:space="preserve"> </w:t>
      </w:r>
      <w:r>
        <w:t xml:space="preserve">probabilistik ketidakpastian plant maupun gangguan. Pengujian Monte Carlo</w:t>
      </w:r>
      <w:r>
        <w:t xml:space="preserve"> </w:t>
      </w:r>
      <w:r>
        <w:t xml:space="preserve">ditempatkan sebagai kemungkinan pengembangan penelitian selanjutnya dengan</w:t>
      </w:r>
      <w:r>
        <w:t xml:space="preserve"> </w:t>
      </w:r>
      <w:r>
        <w:t xml:space="preserve">distribusi ketidakpastian yang harus ditetapkan sebelum eksperimen.</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pPr>
        <w:pStyle w:val="FirstParagraph"/>
      </w:pPr>
      <w:r>
        <w:t xml:space="preserve">Target supervised</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dibentuk secara luring menggunakan</w:t>
      </w:r>
      <w:r>
        <w:t xml:space="preserve"> </w:t>
      </w:r>
      <w:r>
        <w:t xml:space="preserve">simulator PLTMH–ELC dan pencarian grid bertahap. Untuk setiap kondisi operasi</w:t>
      </w:r>
      <w:r>
        <w:t xml:space="preserve"> </w:t>
      </w:r>
      <w:r>
        <w:t xml:space="preserve">yang digunakan dalam pembentukan label, pasangan gain kandidat dievaluasi</w:t>
      </w:r>
      <w:r>
        <w:t xml:space="preserve"> </w:t>
      </w:r>
      <w:r>
        <w:t xml:space="preserve">dengan fungsi objektif yang telah ditetapkan pada tahap pembentukan dataset.</w:t>
      </w:r>
      <w:r>
        <w:t xml:space="preserve"> </w:t>
      </w:r>
      <w:r>
        <w:t xml:space="preserve">Pasangan dengan nilai objektif terbaik digunakan sebagai target gain untuk</w:t>
      </w:r>
      <w:r>
        <w:t xml:space="preserve"> </w:t>
      </w:r>
      <w:r>
        <w:t xml:space="preserve">data temporal yang berasal dari kondisi tersebut.</w:t>
      </w:r>
    </w:p>
    <w:p>
      <w:pPr>
        <w:pStyle w:val="BodyText"/>
      </w:pPr>
      <w:r>
        <w:t xml:space="preserve">Pencarian dilakukan secara deterministik dengan skema coarse-to-fine sehingga</w:t>
      </w:r>
      <w:r>
        <w:t xml:space="preserve"> </w:t>
      </w:r>
      <w:r>
        <w:t xml:space="preserve">eksplorasi awal dilakukan pada grid yang lebih kasar dan dilanjutkan pada</w:t>
      </w:r>
      <w:r>
        <w:t xml:space="preserve"> </w:t>
      </w:r>
      <w:r>
        <w:t xml:space="preserve">daerah kandidat yang lebih relevan. Prosedur ini digunakan untuk menghasilkan</w:t>
      </w:r>
      <w:r>
        <w:t xml:space="preserve"> </w:t>
      </w:r>
      <w:r>
        <w:t xml:space="preserve">target pembelajaran dan tidak berperan sebagai mekanisme adaptasi gain saat</w:t>
      </w:r>
      <w:r>
        <w:t xml:space="preserve"> </w:t>
      </w:r>
      <w:r>
        <w:t xml:space="preserve">simulasi closed-loop.</w:t>
      </w:r>
    </w:p>
    <w:p>
      <w:pPr>
        <w:pStyle w:val="BodyText"/>
      </w:pPr>
      <w:r>
        <w:t xml:space="preserve">Hanya prosedur pencarian grid yang benar-benar dieksekusi dan artefaknya</w:t>
      </w:r>
      <w:r>
        <w:t xml:space="preserve"> </w:t>
      </w:r>
      <w:r>
        <w:t xml:space="preserve">tersimpan yang digunakan sebagai dasar metodologi. Penelitian tidak mengklaim</w:t>
      </w:r>
      <w:r>
        <w:t xml:space="preserve"> </w:t>
      </w:r>
      <w:r>
        <w:t xml:space="preserve">adanya aturan tie-break tambahan berbasis variasi gain tetangga atau margin</w:t>
      </w:r>
      <w:r>
        <w:t xml:space="preserve"> </w:t>
      </w:r>
      <w:r>
        <w:t xml:space="preserve">stabilitas apabila aturan tersebut tidak termasuk dalam prosedur final yang</w:t>
      </w:r>
      <w:r>
        <w:t xml:space="preserve"> </w:t>
      </w:r>
      <w:r>
        <w:t xml:space="preserve">dibekukan. Penelitian juga tidak menyatakan telah melakukan analisis</w:t>
      </w:r>
      <w:r>
        <w:t xml:space="preserve"> </w:t>
      </w:r>
      <w:r>
        <w:t xml:space="preserve">sensitivitas ukuran grid apabila analisis tersebut tidak menjadi bagian dari</w:t>
      </w:r>
      <w:r>
        <w:t xml:space="preserve"> </w:t>
      </w:r>
      <w:r>
        <w:t xml:space="preserve">eksperimen final.</w:t>
      </w:r>
    </w:p>
    <w:p>
      <w:pPr>
        <w:pStyle w:val="BodyText"/>
      </w:pPr>
      <w:r>
        <w:t xml:space="preserve">Envelope gain admissible yang kemudian digunakan oleh scheduler berasal dari</w:t>
      </w:r>
      <w:r>
        <w:t xml:space="preserve"> </w:t>
      </w:r>
      <w:r>
        <w:t xml:space="preserve">ruang label final. Envelope tersebut berfungsi sebagai pembatas operasional</w:t>
      </w:r>
      <w:r>
        <w:t xml:space="preserve"> </w:t>
      </w:r>
      <w:r>
        <w:t xml:space="preserve">eksperimen, bukan sebagai bukti jaminan kestabilan universal.</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pPr>
        <w:pStyle w:val="FirstParagraph"/>
      </w:pPr>
      <w:r>
        <w:t xml:space="preserve">Masukan temporal LSTM dan QLSTM menggunakan empat fitur yang sama, yaitu</w:t>
      </w:r>
      <w:r>
        <w:t xml:space="preserve"> </w:t>
      </w:r>
      <w:r>
        <w:t xml:space="preserve">deviasi frekuensi, daya mekanik, daya elektrik, dan daya beban buangan.</w:t>
      </w:r>
      <w:r>
        <w:t xml:space="preserve"> </w:t>
      </w:r>
      <w:r>
        <w:t xml:space="preserve">Representasi fitur pada satu titik observasi dapat dituliskan sebagai</w:t>
      </w:r>
    </w:p>
    <w:p>
      <w:pPr>
        <w:pStyle w:val="BodyText"/>
      </w:pPr>
      <m:oMathPara>
        <m:oMathParaPr>
          <m:jc m:val="center"/>
        </m:oMathParaPr>
        <m:oMath>
          <m:sSub>
            <m:e>
              <m:r>
                <m:rPr>
                  <m:sty m:val="b"/>
                </m:rPr>
                <m:t>x</m:t>
              </m:r>
            </m:e>
            <m:sub>
              <m:r>
                <m:t>t</m:t>
              </m:r>
            </m:sub>
          </m:sSub>
          <m:r>
            <m:rPr>
              <m:sty m:val="p"/>
            </m:rPr>
            <m:t>=</m:t>
          </m:r>
          <m:sSup>
            <m:e>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Δ</m:t>
                        </m:r>
                        <m:r>
                          <m:t>f</m:t>
                        </m:r>
                        <m:d>
                          <m:dPr>
                            <m:begChr m:val="("/>
                            <m:endChr m:val=")"/>
                            <m:sepChr m:val=""/>
                            <m:grow/>
                          </m:dPr>
                          <m:e>
                            <m:r>
                              <m:t>t</m:t>
                            </m:r>
                          </m:e>
                        </m:d>
                      </m:e>
                      <m:e>
                        <m:sSub>
                          <m:e>
                            <m:r>
                              <m:t>P</m:t>
                            </m:r>
                          </m:e>
                          <m:sub>
                            <m:r>
                              <m:t>m</m:t>
                            </m:r>
                          </m:sub>
                        </m:sSub>
                        <m:d>
                          <m:dPr>
                            <m:begChr m:val="("/>
                            <m:endChr m:val=")"/>
                            <m:sepChr m:val=""/>
                            <m:grow/>
                          </m:dPr>
                          <m:e>
                            <m:r>
                              <m:t>t</m:t>
                            </m:r>
                          </m:e>
                        </m:d>
                      </m:e>
                      <m:e>
                        <m:sSub>
                          <m:e>
                            <m:r>
                              <m:t>P</m:t>
                            </m:r>
                          </m:e>
                          <m:sub>
                            <m:r>
                              <m:t>e</m:t>
                            </m:r>
                          </m:sub>
                        </m:sSub>
                        <m:d>
                          <m:dPr>
                            <m:begChr m:val="("/>
                            <m:endChr m:val=")"/>
                            <m:sepChr m:val=""/>
                            <m:grow/>
                          </m:dPr>
                          <m:e>
                            <m:r>
                              <m:t>t</m:t>
                            </m:r>
                          </m:e>
                        </m:d>
                      </m:e>
                      <m:e>
                        <m:sSub>
                          <m:e>
                            <m:r>
                              <m:t>P</m:t>
                            </m:r>
                          </m:e>
                          <m:sub>
                            <m:r>
                              <m:rPr>
                                <m:sty m:val="p"/>
                              </m:rPr>
                              <m:t>d</m:t>
                            </m:r>
                            <m:r>
                              <m:rPr>
                                <m:sty m:val="p"/>
                              </m:rPr>
                              <m:t>u</m:t>
                            </m:r>
                            <m:r>
                              <m:rPr>
                                <m:sty m:val="p"/>
                              </m:rPr>
                              <m:t>m</m:t>
                            </m:r>
                            <m:r>
                              <m:rPr>
                                <m:sty m:val="p"/>
                              </m:rPr>
                              <m:t>p</m:t>
                            </m:r>
                          </m:sub>
                        </m:sSub>
                        <m:d>
                          <m:dPr>
                            <m:begChr m:val="("/>
                            <m:endChr m:val=")"/>
                            <m:sepChr m:val=""/>
                            <m:grow/>
                          </m:dPr>
                          <m:e>
                            <m:r>
                              <m:t>t</m:t>
                            </m:r>
                          </m:e>
                        </m:d>
                      </m:e>
                    </m:mr>
                  </m:m>
                </m:e>
              </m:d>
            </m:e>
            <m:sup>
              <m:r>
                <m:rPr>
                  <m:sty m:val="p"/>
                  <m:scr m:val="sans-serif"/>
                </m:rPr>
                <m:t>T</m:t>
              </m:r>
            </m:sup>
          </m:sSup>
          <m:r>
            <m:rPr>
              <m:sty m:val="p"/>
            </m:rPr>
            <m:t>.</m:t>
          </m:r>
        </m:oMath>
      </m:oMathPara>
    </w:p>
    <w:p>
      <w:pPr>
        <w:pStyle w:val="FirstParagraph"/>
      </w:pPr>
      <w:r>
        <w:t xml:space="preserve">Setiap sampel pembelajaran berbentuk jendela dengan 11 titik observasi.</w:t>
      </w:r>
      <w:r>
        <w:t xml:space="preserve"> </w:t>
      </w:r>
      <w:r>
        <w:t xml:space="preserve">Frekuensi observasi adalah 20 Hz atau</w:t>
      </w:r>
      <w:r>
        <w:t xml:space="preserve"> </w:t>
      </w:r>
      <m:oMath>
        <m:r>
          <m:t>Δ</m:t>
        </m:r>
        <m:sSub>
          <m:e>
            <m:r>
              <m:t>t</m:t>
            </m:r>
          </m:e>
          <m:sub>
            <m:r>
              <m:rPr>
                <m:sty m:val="p"/>
              </m:rPr>
              <m:t>o</m:t>
            </m:r>
            <m:r>
              <m:rPr>
                <m:sty m:val="p"/>
              </m:rPr>
              <m:t>b</m:t>
            </m:r>
            <m:r>
              <m:rPr>
                <m:sty m:val="p"/>
              </m:rPr>
              <m:t>s</m:t>
            </m:r>
          </m:sub>
        </m:sSub>
        <m:r>
          <m:rPr>
            <m:sty m:val="p"/>
          </m:rPr>
          <m:t>=</m:t>
        </m:r>
        <m:r>
          <m:t>0</m:t>
        </m:r>
        <m:r>
          <m:rPr>
            <m:sty m:val="p"/>
          </m:rPr>
          <m:t>,</m:t>
        </m:r>
        <m:r>
          <m:t>05</m:t>
        </m:r>
      </m:oMath>
      <w:r>
        <w:t xml:space="preserve"> </w:t>
      </w:r>
      <w:r>
        <w:t xml:space="preserve">s,</w:t>
      </w:r>
      <w:r>
        <w:t xml:space="preserve"> </w:t>
      </w:r>
      <w:r>
        <w:t xml:space="preserve">sehingga satu jendela mencakup rentang 0,5 s. Dataset final berisi 17.600</w:t>
      </w:r>
      <w:r>
        <w:t xml:space="preserve"> </w:t>
      </w:r>
      <w:r>
        <w:t xml:space="preserve">jendela supervised dengan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w:t>
      </w:r>
    </w:p>
    <w:p>
      <w:pPr>
        <w:pStyle w:val="BodyText"/>
      </w:pPr>
      <w:r>
        <w:t xml:space="preserve">Pemisahan data dilakukan pada tingkat keluarga dinamik, bukan melalui</w:t>
      </w:r>
      <w:r>
        <w:t xml:space="preserve"> </w:t>
      </w:r>
      <w:r>
        <w:t xml:space="preserve">pengacakan baris maupun rasio jumlah skenario. Tujuh keluarga dinamik</w:t>
      </w:r>
      <w:r>
        <w:t xml:space="preserve"> </w:t>
      </w:r>
      <w:r>
        <w:t xml:space="preserve">digunakan untuk pelatihan, dua untuk validasi, dan dua untuk pengujian.</w:t>
      </w:r>
      <w:r>
        <w:t xml:space="preserve"> </w:t>
      </w:r>
      <w:r>
        <w:t xml:space="preserve">Pembagian tersebut menghasilkan masing-masing 11.200, 3.200, dan 3.200</w:t>
      </w:r>
      <w:r>
        <w:t xml:space="preserve"> </w:t>
      </w:r>
      <w:r>
        <w:t xml:space="preserve">jendela. Tidak terdapat</w:t>
      </w:r>
      <w:r>
        <w:t xml:space="preserve"> </w:t>
      </w:r>
      <w:r>
        <w:rPr>
          <w:iCs/>
          <w:i/>
        </w:rPr>
        <w:t xml:space="preserve">family leakage</w:t>
      </w:r>
      <w:r>
        <w:t xml:space="preserve"> </w:t>
      </w:r>
      <w:r>
        <w:t xml:space="preserve">maupun</w:t>
      </w:r>
      <w:r>
        <w:t xml:space="preserve"> </w:t>
      </w:r>
      <w:r>
        <w:rPr>
          <w:iCs/>
          <w:i/>
        </w:rPr>
        <w:t xml:space="preserve">scenario leakage</w:t>
      </w:r>
      <w:r>
        <w:t xml:space="preserve"> </w:t>
      </w:r>
      <w:r>
        <w:t xml:space="preserve">antar</w:t>
      </w:r>
      <w:r>
        <w:t xml:space="preserve"> </w:t>
      </w:r>
      <w:r>
        <w:t xml:space="preserve">kelompok data.</w:t>
      </w:r>
    </w:p>
    <w:p>
      <w:pPr>
        <w:pStyle w:val="BodyText"/>
      </w:pPr>
      <w:r>
        <w:t xml:space="preserve">Standardisasi fitur dan target dihitung hanya menggunakan data latih.</w:t>
      </w:r>
      <w:r>
        <w:t xml:space="preserve"> </w:t>
      </w:r>
      <w:r>
        <w:t xml:space="preserve">Parameter standardisasi yang telah dibekukan kemudian diterapkan pada data</w:t>
      </w:r>
      <w:r>
        <w:t xml:space="preserve"> </w:t>
      </w:r>
      <w:r>
        <w:t xml:space="preserve">validasi dan data uji. Dengan prosedur tersebut, informasi dari keluarga uji</w:t>
      </w:r>
      <w:r>
        <w:t xml:space="preserve"> </w:t>
      </w:r>
      <w:r>
        <w:t xml:space="preserve">tidak digunakan untuk menentukan parameter prapengolahan atau pemilihan model.</w:t>
      </w:r>
    </w:p>
    <w:p>
      <w:pPr>
        <w:pStyle w:val="BodyText"/>
      </w:pPr>
      <w:r>
        <w:t xml:space="preserve">Regime gain G1, G2, dan G3 terdapat pada data pelatihan, sedangkan keluarga</w:t>
      </w:r>
      <w:r>
        <w:t xml:space="preserve"> </w:t>
      </w:r>
      <w:r>
        <w:t xml:space="preserve">validasi dan pengujian independen hanya mencakup G1 dan G2. Oleh karena itu,</w:t>
      </w:r>
      <w:r>
        <w:t xml:space="preserve"> </w:t>
      </w:r>
      <w:r>
        <w:t xml:space="preserve">klaim generalisasi</w:t>
      </w:r>
      <w:r>
        <w:t xml:space="preserve"> </w:t>
      </w:r>
      <w:r>
        <w:rPr>
          <w:iCs/>
          <w:i/>
        </w:rPr>
        <w:t xml:space="preserve">held-out</w:t>
      </w:r>
      <w:r>
        <w:t xml:space="preserve"> </w:t>
      </w:r>
      <w:r>
        <w:t xml:space="preserve">dibatasi pada keluarga G1/G2. Regime G3 tidak</w:t>
      </w:r>
      <w:r>
        <w:t xml:space="preserve"> </w:t>
      </w:r>
      <w:r>
        <w:t xml:space="preserve">mempunyai keluarga uji independen dan hanya dianalisis melalui diagnostik</w:t>
      </w:r>
      <w:r>
        <w:t xml:space="preserve"> </w:t>
      </w:r>
      <w:r>
        <w:t xml:space="preserve">dalam distribusi. Skenario</w:t>
      </w:r>
      <w:r>
        <w:t xml:space="preserve"> </w:t>
      </w:r>
      <w:r>
        <w:rPr>
          <w:iCs/>
          <w:i/>
        </w:rPr>
        <w:t xml:space="preserve">boundary stress</w:t>
      </w:r>
      <w:r>
        <w:t xml:space="preserve"> </w:t>
      </w:r>
      <w:r>
        <w:t xml:space="preserve">tidak dimasukkan ke tensor</w:t>
      </w:r>
      <w:r>
        <w:t xml:space="preserve"> </w:t>
      </w:r>
      <w:r>
        <w:t xml:space="preserve">supervised final.</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pPr>
        <w:pStyle w:val="FirstParagraph"/>
      </w:pPr>
      <w:r>
        <w:t xml:space="preserve">LSTM dan QLSTM dikembangkan menggunakan masukan temporal, target gain, split</w:t>
      </w:r>
      <w:r>
        <w:t xml:space="preserve"> </w:t>
      </w:r>
      <w:r>
        <w:t xml:space="preserve">keluarga dinamik, serta prosedur standardisasi yang sama agar perbandingan</w:t>
      </w:r>
      <w:r>
        <w:t xml:space="preserve"> </w:t>
      </w:r>
      <w:r>
        <w:t xml:space="preserve">kedua model tidak dipengaruhi oleh perbedaan informasi masukan. Setiap jendela</w:t>
      </w:r>
      <w:r>
        <w:t xml:space="preserve"> </w:t>
      </w:r>
      <w:r>
        <w:t xml:space="preserve">berisi 11 titik observasi dari empat fitur, yaitu deviasi frekuensi, daya</w:t>
      </w:r>
      <w:r>
        <w:t xml:space="preserve"> </w:t>
      </w:r>
      <w:r>
        <w:t xml:space="preserve">mekanik, daya elektrik, dan daya beban buangan. Target model adalah</w:t>
      </w:r>
      <w:r>
        <w:t xml:space="preserve"> </w:t>
      </w:r>
      <m:oMath>
        <m:sSub>
          <m:e>
            <m:r>
              <m:t>K</m:t>
            </m:r>
          </m:e>
          <m:sub>
            <m:r>
              <m:t>p</m:t>
            </m:r>
          </m:sub>
        </m:sSub>
      </m:oMath>
      <w:r>
        <w:t xml:space="preserve"> </w:t>
      </w:r>
      <w:r>
        <w:t xml:space="preserve">dan</w:t>
      </w:r>
      <w:r>
        <w:t xml:space="preserve"> </w:t>
      </w:r>
      <m:oMath>
        <m:sSub>
          <m:e>
            <m:r>
              <m:t>K</m:t>
            </m:r>
          </m:e>
          <m:sub>
            <m:r>
              <m:t>i</m:t>
            </m:r>
          </m:sub>
        </m:sSub>
      </m:oMath>
      <w:r>
        <w:t xml:space="preserve"> </w:t>
      </w:r>
      <w:r>
        <w:t xml:space="preserve">yang telah dibentuk melalui pencarian grid luring.</w:t>
      </w:r>
    </w:p>
    <w:p>
      <w:pPr>
        <w:pStyle w:val="BodyText"/>
      </w:pPr>
      <w:r>
        <w:t xml:space="preserve">Standardisasi fitur dan target dihitung hanya dari data latih. Kedua model</w:t>
      </w:r>
      <w:r>
        <w:t xml:space="preserve"> </w:t>
      </w:r>
      <w:r>
        <w:t xml:space="preserve">mempelajari target pada ruang yang telah distandardisasi dan menghasilkan dua</w:t>
      </w:r>
      <w:r>
        <w:t xml:space="preserve"> </w:t>
      </w:r>
      <w:r>
        <w:t xml:space="preserve">keluaran regresi. Keluaran model tidak langsung dianggap sebagai gain aman.</w:t>
      </w:r>
      <w:r>
        <w:t xml:space="preserve"> </w:t>
      </w:r>
      <w:r>
        <w:t xml:space="preserve">Setelah inverse target scaling, kebijakan scheduler melakukan pemeriksaan nilai</w:t>
      </w:r>
      <w:r>
        <w:t xml:space="preserve"> </w:t>
      </w:r>
      <w:r>
        <w:t xml:space="preserve">berhingga, clipping pada envelope gain admissible, dan pembatasan laju</w:t>
      </w:r>
      <w:r>
        <w:t xml:space="preserve"> </w:t>
      </w:r>
      <w:r>
        <w:t xml:space="preserve">perubahan sebelum gain diterapkan pada PI.</w:t>
      </w:r>
    </w:p>
    <w:p>
      <w:pPr>
        <w:pStyle w:val="BodyText"/>
      </w:pPr>
      <w:r>
        <w:t xml:space="preserve">LSTM diimplementasikan menggunakan PyTorch. QLSTM direalisasikan sebagai model</w:t>
      </w:r>
      <w:r>
        <w:t xml:space="preserve"> </w:t>
      </w:r>
      <w:r>
        <w:t xml:space="preserve">hybrid quantum–classical berbasis PennyLane dengan empat qubit, kedalaman VQC</w:t>
      </w:r>
      <w:r>
        <w:t xml:space="preserve"> </w:t>
      </w:r>
      <w:r>
        <w:t xml:space="preserve">satu lapisan, keadaan tersembunyi berdimensi empat, dan kepala regresi akhir</w:t>
      </w:r>
      <w:r>
        <w:t xml:space="preserve"> </w:t>
      </w:r>
      <w:r>
        <w:t xml:space="preserve">berstruktur</w:t>
      </w:r>
      <w:r>
        <w:t xml:space="preserve"> </w:t>
      </w:r>
      <m:oMath>
        <m:r>
          <m:t>4</m:t>
        </m:r>
        <m:r>
          <m:rPr>
            <m:sty m:val="p"/>
          </m:rPr>
          <m:t>→</m:t>
        </m:r>
        <m:r>
          <m:t>64</m:t>
        </m:r>
        <m:r>
          <m:rPr>
            <m:sty m:val="p"/>
          </m:rPr>
          <m:t>→</m:t>
        </m:r>
        <m:r>
          <m:t>60</m:t>
        </m:r>
        <m:r>
          <m:rPr>
            <m:sty m:val="p"/>
          </m:rPr>
          <m:t>→</m:t>
        </m:r>
        <m:r>
          <m:t>16</m:t>
        </m:r>
        <m:r>
          <m:rPr>
            <m:sty m:val="p"/>
          </m:rPr>
          <m:t>→</m:t>
        </m:r>
        <m:r>
          <m:t>2</m:t>
        </m:r>
      </m:oMath>
      <w:r>
        <w:t xml:space="preserve">.</w:t>
      </w:r>
      <w:r>
        <w:t xml:space="preserve"> </w:t>
      </w:r>
      <w:r>
        <w:t xml:space="preserve">Implementasi QLSTM akhir dijalankan pada CPU dan tidak menggunakan perangkat</w:t>
      </w:r>
      <w:r>
        <w:t xml:space="preserve"> </w:t>
      </w:r>
      <w:r>
        <w:t xml:space="preserve">keras kuantum.</w:t>
      </w:r>
    </w:p>
    <w:p>
      <w:pPr>
        <w:pStyle w:val="BodyText"/>
      </w:pPr>
      <w:r>
        <w:t xml:space="preserve">Protokol final LSTM dan QLSTM masing-masing menggunakan seed tetap 20260909.</w:t>
      </w:r>
      <w:r>
        <w:t xml:space="preserve"> </w:t>
      </w:r>
      <w:r>
        <w:t xml:space="preserve">Pelatihan multi-seed tidak digunakan sebagai dasar estimasi ketidakpastian</w:t>
      </w:r>
      <w:r>
        <w:t xml:space="preserve"> </w:t>
      </w:r>
      <w:r>
        <w:t xml:space="preserve">hasil akhir. Setelah model final dibekukan, tidak dilakukan pelatihan ulang</w:t>
      </w:r>
      <w:r>
        <w:t xml:space="preserve"> </w:t>
      </w:r>
      <w:r>
        <w:t xml:space="preserve">berdasarkan hasil closed-loop dan tidak dilakukan pemilihan ulang konfigurasi</w:t>
      </w:r>
      <w:r>
        <w:t xml:space="preserve"> </w:t>
      </w:r>
      <w:r>
        <w:t xml:space="preserve">untuk memperbaiki hasil pengujian.</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pPr>
        <w:pStyle w:val="FirstParagraph"/>
      </w:pPr>
      <w:r>
        <w:t xml:space="preserve">LSTM dan QLSTM diintegrasikan sebagai penjadwal gain pada tingkat supervisori,</w:t>
      </w:r>
      <w:r>
        <w:t xml:space="preserve"> </w:t>
      </w:r>
      <w:r>
        <w:t xml:space="preserve">sedangkan pengendali PI tetap menghasilkan sinyal kendali ELC. Kedua model</w:t>
      </w:r>
      <w:r>
        <w:t xml:space="preserve"> </w:t>
      </w:r>
      <w:r>
        <w:t xml:space="preserve">menerima jendela observasi dengan struktur, scaler, batas gain, fallback,</w:t>
      </w:r>
      <w:r>
        <w:t xml:space="preserve"> </w:t>
      </w:r>
      <w:r>
        <w:t xml:space="preserve">pembatas laju, dan frekuensi pembaruan yang sama.</w:t>
      </w:r>
    </w:p>
    <w:p>
      <w:pPr>
        <w:pStyle w:val="BodyText"/>
      </w:pPr>
      <w:r>
        <w:t xml:space="preserve">Observasi kondisi sistem dilakukan pada 20 Hz. Satu pembaruan gain dilakukan</w:t>
      </w:r>
      <w:r>
        <w:t xml:space="preserve"> </w:t>
      </w:r>
      <w:r>
        <w:t xml:space="preserve">setelah dua observasi sehingga frekuensi pembaruan scheduler adalah 10 Hz atau</w:t>
      </w:r>
      <w:r>
        <w:t xml:space="preserve"> </w:t>
      </w:r>
      <m:oMath>
        <m:r>
          <m:t>Δ</m:t>
        </m:r>
        <m:sSub>
          <m:e>
            <m:r>
              <m:t>t</m:t>
            </m:r>
          </m:e>
          <m:sub>
            <m:r>
              <m:t>u</m:t>
            </m:r>
          </m:sub>
        </m:sSub>
        <m:r>
          <m:rPr>
            <m:sty m:val="p"/>
          </m:rPr>
          <m:t>=</m:t>
        </m:r>
        <m:r>
          <m:t>0</m:t>
        </m:r>
        <m:r>
          <m:rPr>
            <m:sty m:val="p"/>
          </m:rPr>
          <m:t>,</m:t>
        </m:r>
        <m:r>
          <m:t>1</m:t>
        </m:r>
      </m:oMath>
      <w:r>
        <w:t xml:space="preserve"> </w:t>
      </w:r>
      <w:r>
        <w:t xml:space="preserve">s. Di antara dua pembaruan, gain terakhir dipertahankan</w:t>
      </w:r>
      <w:r>
        <w:t xml:space="preserve"> </w:t>
      </w:r>
      <w:r>
        <w:t xml:space="preserve">dengan</w:t>
      </w:r>
      <w:r>
        <w:t xml:space="preserve"> </w:t>
      </w:r>
      <w:r>
        <w:rPr>
          <w:iCs/>
          <w:i/>
        </w:rPr>
        <w:t xml:space="preserve">zero-order hold</w:t>
      </w:r>
      <w:r>
        <w:t xml:space="preserve">.</w:t>
      </w:r>
    </w:p>
    <w:p>
      <w:pPr>
        <w:pStyle w:val="BodyText"/>
      </w:pPr>
      <w:r>
        <w:t xml:space="preserve">Urutan pemrosesan scheduler dibekukan sebagai berikut:</w:t>
      </w:r>
    </w:p>
    <w:p>
      <w:pPr>
        <w:pStyle w:val="BodyText"/>
      </w:pPr>
      <w:r>
        <w:t xml:space="preserve">1. membentuk jendela observasi mentah;</w:t>
      </w:r>
    </w:p>
    <w:p>
      <w:pPr>
        <w:pStyle w:val="BodyText"/>
      </w:pPr>
      <w:r>
        <w:t xml:space="preserve">2. melakukan standardisasi fitur menggunakan scaler data latih;</w:t>
      </w:r>
    </w:p>
    <w:p>
      <w:pPr>
        <w:pStyle w:val="BodyText"/>
      </w:pPr>
      <w:r>
        <w:t xml:space="preserve">3. menjalankan inferensi model beku;</w:t>
      </w:r>
    </w:p>
    <w:p>
      <w:pPr>
        <w:pStyle w:val="BodyText"/>
      </w:pPr>
      <w:r>
        <w:t xml:space="preserve">4. mengembalikan keluaran dari skala target ke satuan fisik;</w:t>
      </w:r>
    </w:p>
    <w:p>
      <w:pPr>
        <w:pStyle w:val="BodyText"/>
      </w:pPr>
      <w:r>
        <w:t xml:space="preserve">5. memeriksa keterhinggaan keluaran;</w:t>
      </w:r>
    </w:p>
    <w:p>
      <w:pPr>
        <w:pStyle w:val="BodyText"/>
      </w:pPr>
      <w:r>
        <w:t xml:space="preserve">6. melakukan</w:t>
      </w:r>
      <w:r>
        <w:t xml:space="preserve"> </w:t>
      </w:r>
      <w:r>
        <w:rPr>
          <w:iCs/>
          <w:i/>
        </w:rPr>
        <w:t xml:space="preserve">clipping</w:t>
      </w:r>
      <w:r>
        <w:t xml:space="preserve"> </w:t>
      </w:r>
      <w:r>
        <w:t xml:space="preserve">pada</w:t>
      </w:r>
      <w:r>
        <w:t xml:space="preserve"> </w:t>
      </w:r>
      <w:r>
        <w:rPr>
          <w:iCs/>
          <w:i/>
        </w:rPr>
        <w:t xml:space="preserve">envelope</w:t>
      </w:r>
      <w:r>
        <w:t xml:space="preserve"> </w:t>
      </w:r>
      <w:r>
        <w:t xml:space="preserve">gain</w:t>
      </w:r>
      <w:r>
        <w:t xml:space="preserve"> </w:t>
      </w:r>
      <w:r>
        <w:rPr>
          <w:iCs/>
          <w:i/>
        </w:rPr>
        <w:t xml:space="preserve">admissible</w:t>
      </w:r>
      <w:r>
        <w:t xml:space="preserve">;</w:t>
      </w:r>
    </w:p>
    <w:p>
      <w:pPr>
        <w:pStyle w:val="BodyText"/>
      </w:pPr>
      <w:r>
        <w:t xml:space="preserve">7. membatasi laju perubahan gain; dan</w:t>
      </w:r>
    </w:p>
    <w:p>
      <w:pPr>
        <w:pStyle w:val="BodyText"/>
      </w:pPr>
      <w:r>
        <w:t xml:space="preserve">8. menerapkan gain ke pengendali PI.</w:t>
      </w:r>
    </w:p>
    <w:p>
      <w:pPr>
        <w:pStyle w:val="BodyText"/>
      </w:pPr>
      <w:r>
        <w:t xml:space="preserve">Laju perubahan maksimum</w:t>
      </w:r>
      <w:r>
        <w:t xml:space="preserve"> </w:t>
      </w:r>
      <m:oMath>
        <m:sSub>
          <m:e>
            <m:r>
              <m:t>K</m:t>
            </m:r>
          </m:e>
          <m:sub>
            <m:r>
              <m:t>p</m:t>
            </m:r>
          </m:sub>
        </m:sSub>
      </m:oMath>
      <w:r>
        <w:t xml:space="preserve"> </w:t>
      </w:r>
      <w:r>
        <w:t xml:space="preserve">adalah 1,2 per detik atau 0,12 per pembaruan,</w:t>
      </w:r>
      <w:r>
        <w:t xml:space="preserve"> </w:t>
      </w:r>
      <w:r>
        <w:t xml:space="preserve">sedangkan laju perubahan maksimum</w:t>
      </w:r>
      <w:r>
        <w:t xml:space="preserve"> </w:t>
      </w:r>
      <m:oMath>
        <m:sSub>
          <m:e>
            <m:r>
              <m:t>K</m:t>
            </m:r>
          </m:e>
          <m:sub>
            <m:r>
              <m:t>i</m:t>
            </m:r>
          </m:sub>
        </m:sSub>
      </m:oMath>
      <w:r>
        <w:t xml:space="preserve"> </w:t>
      </w:r>
      <w:r>
        <w:t xml:space="preserve">adalah 11,1072 per detik atau</w:t>
      </w:r>
      <w:r>
        <w:t xml:space="preserve"> </w:t>
      </w:r>
      <w:r>
        <w:t xml:space="preserve">1,11072 per pembaruan. Jika inferensi gagal atau menghasilkan nilai tidak</w:t>
      </w:r>
      <w:r>
        <w:t xml:space="preserve"> </w:t>
      </w:r>
      <w:r>
        <w:t xml:space="preserve">berhingga, scheduler menggunakan pasangan fallback</w:t>
      </w:r>
      <w:r>
        <w:t xml:space="preserve"> </w:t>
      </w:r>
      <m:oMath>
        <m:sSub>
          <m:e>
            <m:r>
              <m:t>K</m:t>
            </m:r>
          </m:e>
          <m:sub>
            <m:r>
              <m:t>p</m:t>
            </m:r>
          </m:sub>
        </m:sSub>
        <m:r>
          <m:rPr>
            <m:sty m:val="p"/>
          </m:rPr>
          <m:t>=</m:t>
        </m:r>
        <m:r>
          <m:t>2</m:t>
        </m:r>
        <m:r>
          <m:rPr>
            <m:sty m:val="p"/>
          </m:rPr>
          <m:t>,</m:t>
        </m:r>
        <m:r>
          <m:t>16</m:t>
        </m:r>
      </m:oMath>
      <w:r>
        <w:t xml:space="preserve"> </w:t>
      </w:r>
      <w:r>
        <w:t xml:space="preserve">dan</w:t>
      </w:r>
      <w:r>
        <w:t xml:space="preserve"> </w:t>
      </w:r>
      <m:oMath>
        <m:sSub>
          <m:e>
            <m:r>
              <m:t>K</m:t>
            </m:r>
          </m:e>
          <m:sub>
            <m:r>
              <m:t>i</m:t>
            </m:r>
          </m:sub>
        </m:sSub>
        <m:r>
          <m:rPr>
            <m:sty m:val="p"/>
          </m:rPr>
          <m:t>=</m:t>
        </m:r>
        <m:r>
          <m:t>5</m:t>
        </m:r>
        <m:r>
          <m:rPr>
            <m:sty m:val="p"/>
          </m:rPr>
          <m:t>,</m:t>
        </m:r>
        <m:r>
          <m:t>72</m:t>
        </m:r>
      </m:oMath>
      <w:r>
        <w:t xml:space="preserve"> </w:t>
      </w:r>
      <w:r>
        <w:t xml:space="preserve">melalui pembatas laju yang sama.</w:t>
      </w:r>
    </w:p>
    <w:p>
      <w:pPr>
        <w:pStyle w:val="BodyText"/>
      </w:pPr>
      <w:r>
        <w:t xml:space="preserve">Tidak digunakan</w:t>
      </w:r>
      <w:r>
        <w:t xml:space="preserve"> </w:t>
      </w:r>
      <w:r>
        <w:rPr>
          <w:iCs/>
          <w:i/>
        </w:rPr>
        <w:t xml:space="preserve">exponential smoothing</w:t>
      </w:r>
      <w:r>
        <w:t xml:space="preserve"> </w:t>
      </w:r>
      <w:r>
        <w:t xml:space="preserve">pada keluaran LSTM maupun QLSTM.</w:t>
      </w:r>
      <w:r>
        <w:t xml:space="preserve"> </w:t>
      </w:r>
      <w:r>
        <w:t xml:space="preserve">Seluruh aturan scheduler tersebut ditetapkan sebelum hasil</w:t>
      </w:r>
      <w:r>
        <w:t xml:space="preserve"> </w:t>
      </w:r>
      <w:r>
        <w:rPr>
          <w:iCs/>
          <w:i/>
        </w:rPr>
        <w:t xml:space="preserve">closed-loop</w:t>
      </w:r>
      <w:r>
        <w:t xml:space="preserve"> </w:t>
      </w:r>
      <w:r>
        <w:t xml:space="preserve">diperoleh dan tidak diubah berdasarkan kinerja pengujian.</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pPr>
        <w:pStyle w:val="FirstParagraph"/>
      </w:pPr>
      <w:r>
        <w:t xml:space="preserve">Analisis dilakukan pada tingkat model dan tingkat sistem kendali. Pada tingkat</w:t>
      </w:r>
      <w:r>
        <w:t xml:space="preserve"> </w:t>
      </w:r>
      <w:r>
        <w:t xml:space="preserve">model, galat estimasi gain pada data uji digunakan untuk mendeskripsikan</w:t>
      </w:r>
      <w:r>
        <w:t xml:space="preserve"> </w:t>
      </w:r>
      <w:r>
        <w:t xml:space="preserve">kemampuan LSTM dan QLSTM mempelajari pemetaan jendela temporal menuju target</w:t>
      </w:r>
      <w:r>
        <w:t xml:space="preserve"> </w:t>
      </w:r>
      <m:oMath>
        <m:sSub>
          <m:e>
            <m:r>
              <m:t>K</m:t>
            </m:r>
          </m:e>
          <m:sub>
            <m:r>
              <m:t>p</m:t>
            </m:r>
          </m:sub>
        </m:sSub>
      </m:oMath>
      <w:r>
        <w:t xml:space="preserve"> </w:t>
      </w:r>
      <w:r>
        <w:t xml:space="preserve">dan</w:t>
      </w:r>
      <w:r>
        <w:t xml:space="preserve"> </w:t>
      </w:r>
      <m:oMath>
        <m:sSub>
          <m:e>
            <m:r>
              <m:t>K</m:t>
            </m:r>
          </m:e>
          <m:sub>
            <m:r>
              <m:t>i</m:t>
            </m:r>
          </m:sub>
        </m:sSub>
      </m:oMath>
      <w:r>
        <w:t xml:space="preserve">. Hasil tingkat model dilaporkan terpisah dari kinerja</w:t>
      </w:r>
      <w:r>
        <w:t xml:space="preserve"> </w:t>
      </w:r>
      <w:r>
        <w:rPr>
          <w:iCs/>
          <w:i/>
        </w:rPr>
        <w:t xml:space="preserve">closed-loop</w:t>
      </w:r>
      <w:r>
        <w:t xml:space="preserve"> </w:t>
      </w:r>
      <w:r>
        <w:t xml:space="preserve">karena galat estimasi gain tidak diasumsikan mempunyai hubungan</w:t>
      </w:r>
      <w:r>
        <w:t xml:space="preserve"> </w:t>
      </w:r>
      <w:r>
        <w:t xml:space="preserve">proporsional langsung dengan kualitas respons frekuensi.</w:t>
      </w:r>
    </w:p>
    <w:p>
      <w:pPr>
        <w:pStyle w:val="BodyText"/>
      </w:pPr>
      <w:r>
        <w:t xml:space="preserve">Pada tingkat</w:t>
      </w:r>
      <w:r>
        <w:t xml:space="preserve"> </w:t>
      </w:r>
      <w:r>
        <w:rPr>
          <w:iCs/>
          <w:i/>
        </w:rPr>
        <w:t xml:space="preserve">closed-loop</w:t>
      </w:r>
      <w:r>
        <w:t xml:space="preserve">, metrik primer adalah RMSE deviasi frekuensi pada</w:t>
      </w:r>
      <w:r>
        <w:t xml:space="preserve"> </w:t>
      </w:r>
      <w:r>
        <w:t xml:space="preserve">interval pascagangguan. Analisis primer menggunakan keluarga dinamik sebagai</w:t>
      </w:r>
      <w:r>
        <w:t xml:space="preserve"> </w:t>
      </w:r>
      <w:r>
        <w:t xml:space="preserve">unit agregasi. Hasil dilaporkan untuk setiap keluarga secara individual dan</w:t>
      </w:r>
      <w:r>
        <w:t xml:space="preserve"> </w:t>
      </w:r>
      <w:r>
        <w:t xml:space="preserve">dapat diringkas menggunakan rerata keluarga tidak berbobot.</w:t>
      </w:r>
    </w:p>
    <w:p>
      <w:pPr>
        <w:pStyle w:val="BodyText"/>
      </w:pPr>
      <w:r>
        <w:t xml:space="preserve">Simpangan frekuensi maksimum, RoCoF maksimum, waktu tunak, galat frekuensi</w:t>
      </w:r>
      <w:r>
        <w:t xml:space="preserve"> </w:t>
      </w:r>
      <w:r>
        <w:t xml:space="preserve">akhir, aktivitas beban buangan, variasi total duty, lintasan gain, kejadian</w:t>
      </w:r>
      <w:r>
        <w:t xml:space="preserve"> </w:t>
      </w:r>
      <w:r>
        <w:t xml:space="preserve">saturasi atau fallback, serta beban komputasi digunakan sebagai indikator</w:t>
      </w:r>
      <w:r>
        <w:t xml:space="preserve"> </w:t>
      </w:r>
      <w:r>
        <w:t xml:space="preserve">pendukung. Indikator tersebut membantu menjelaskan mekanisme respons tetapi</w:t>
      </w:r>
      <w:r>
        <w:t xml:space="preserve"> </w:t>
      </w:r>
      <w:r>
        <w:t xml:space="preserve">tidak menggantikan RMSE deviasi frekuensi sebagai metrik primer.</w:t>
      </w:r>
    </w:p>
    <w:p>
      <w:pPr>
        <w:pStyle w:val="BodyText"/>
      </w:pPr>
      <w:r>
        <w:t xml:space="preserve">Jumlah keluarga dinamik uji primer independen hanya dua. Oleh karena itu,</w:t>
      </w:r>
      <w:r>
        <w:t xml:space="preserve"> </w:t>
      </w:r>
      <w:r>
        <w:t xml:space="preserve">penelitian tidak melakukan</w:t>
      </w:r>
      <w:r>
        <w:t xml:space="preserve"> </w:t>
      </w:r>
      <w:r>
        <w:rPr>
          <w:iCs/>
          <w:i/>
        </w:rPr>
        <w:t xml:space="preserve">paired t-test</w:t>
      </w:r>
      <w:r>
        <w:t xml:space="preserve">, Wilcoxon</w:t>
      </w:r>
      <w:r>
        <w:t xml:space="preserve"> </w:t>
      </w:r>
      <w:r>
        <w:rPr>
          <w:iCs/>
          <w:i/>
        </w:rPr>
        <w:t xml:space="preserve">signed-rank test</w:t>
      </w:r>
      <w:r>
        <w:t xml:space="preserve">,</w:t>
      </w:r>
      <w:r>
        <w:t xml:space="preserve"> </w:t>
      </w:r>
      <w:r>
        <w:t xml:space="preserve">pengujian signifikansi pada tingkat keluarga, interval kepercayaan 95%,</w:t>
      </w:r>
      <w:r>
        <w:t xml:space="preserve"> </w:t>
      </w:r>
      <w:r>
        <w:t xml:space="preserve">ukuran efek inferensial, maupun koreksi perbandingan berganda untuk</w:t>
      </w:r>
      <w:r>
        <w:t xml:space="preserve"> </w:t>
      </w:r>
      <w:r>
        <w:t xml:space="preserve">menyatakan superioritas salah satu pengendali. Titik-titik waktu hasil</w:t>
      </w:r>
      <w:r>
        <w:t xml:space="preserve"> </w:t>
      </w:r>
      <w:r>
        <w:t xml:space="preserve">integrasi numerik juga tidak diperlakukan sebagai replikasi statistik</w:t>
      </w:r>
      <w:r>
        <w:t xml:space="preserve"> </w:t>
      </w:r>
      <w:r>
        <w:t xml:space="preserve">independen.</w:t>
      </w:r>
    </w:p>
    <w:p>
      <w:pPr>
        <w:pStyle w:val="BodyText"/>
      </w:pPr>
      <w:r>
        <w:t xml:space="preserve">Analisis sensitivitas multi-parameter terhadap panjang jendela, interval</w:t>
      </w:r>
      <w:r>
        <w:t xml:space="preserve"> </w:t>
      </w:r>
      <w:r>
        <w:t xml:space="preserve">pembaruan, faktor smoothing, jumlah qubit, atau kedalaman VQC tidak menjadi</w:t>
      </w:r>
      <w:r>
        <w:t xml:space="preserve"> </w:t>
      </w:r>
      <w:r>
        <w:t xml:space="preserve">bagian dari evaluasi akhir yang dibekukan. Analisis tersebut ditempatkan</w:t>
      </w:r>
      <w:r>
        <w:t xml:space="preserve"> </w:t>
      </w:r>
      <w:r>
        <w:t xml:space="preserve">sebagai rekomendasi penelitian selanjutnya dan tidak digunakan untuk</w:t>
      </w:r>
      <w:r>
        <w:t xml:space="preserve"> </w:t>
      </w:r>
      <w:r>
        <w:t xml:space="preserve">memilih kembali konfigurasi setelah hasil uji diketahui.</w:t>
      </w:r>
    </w:p>
    <w:p>
      <w:pPr>
        <w:pStyle w:val="BodyText"/>
      </w:pPr>
      <w:r>
        <w:t xml:space="preserve">Simulasi Monte Carlo tidak dilakukan pada tahap evaluasi primer. Evaluasi</w:t>
      </w:r>
      <w:r>
        <w:t xml:space="preserve"> </w:t>
      </w:r>
      <w:r>
        <w:t xml:space="preserve">akhir menggunakan empat skenario deterministik dan tiga konfigurasi</w:t>
      </w:r>
      <w:r>
        <w:t xml:space="preserve"> </w:t>
      </w:r>
      <w:r>
        <w:t xml:space="preserve">pengendali sehingga menghasilkan 12</w:t>
      </w:r>
      <w:r>
        <w:t xml:space="preserve"> </w:t>
      </w:r>
      <w:r>
        <w:rPr>
          <w:iCs/>
          <w:i/>
        </w:rPr>
        <w:t xml:space="preserve">run</w:t>
      </w:r>
      <w:r>
        <w:t xml:space="preserve">. Analisis ketidakpastian stokastik</w:t>
      </w:r>
      <w:r>
        <w:t xml:space="preserve"> </w:t>
      </w:r>
      <w:r>
        <w:t xml:space="preserve">melalui Monte Carlo dapat dikembangkan pada penelitian selanjutnya setelah</w:t>
      </w:r>
      <w:r>
        <w:t xml:space="preserve"> </w:t>
      </w:r>
      <w:r>
        <w:t xml:space="preserve">distribusi probabilistik ketidakpastian plant, gangguan, atau pengukuran</w:t>
      </w:r>
      <w:r>
        <w:t xml:space="preserve"> </w:t>
      </w:r>
      <w:r>
        <w:t xml:space="preserve">ditetapkan sebelum eksperimen.</w:t>
      </w:r>
    </w:p>
    <w:p>
      <w:pPr>
        <w:pStyle w:val="BodyText"/>
      </w:pPr>
      <w:r>
        <w:t xml:space="preserve">Setelah hasil pengujian tersedia, tidak dilakukan pelatihan ulang model,</w:t>
      </w:r>
      <w:r>
        <w:t xml:space="preserve"> </w:t>
      </w:r>
      <w:r>
        <w:t xml:space="preserve">pemilihan ulang skenario primer, maupun perubahan aturan scheduler.</w:t>
      </w:r>
      <w:r>
        <w:t xml:space="preserve"> </w:t>
      </w:r>
      <w:r>
        <w:t xml:space="preserve">Kesimpulan ditarik secara deskriptif berdasarkan bukti yang dihasilkan oleh</w:t>
      </w:r>
      <w:r>
        <w:t xml:space="preserve"> </w:t>
      </w:r>
      <w:r>
        <w:t xml:space="preserve">protokol yang telah dibekukan.</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pPr>
        <w:pStyle w:val="FirstParagraph"/>
      </w:pPr>
      <w:r>
        <w:t xml:space="preserve">Keberhasilan penelitian ditentukan oleh keterlaksanaan metodologi secara</w:t>
      </w:r>
      <w:r>
        <w:t xml:space="preserve"> </w:t>
      </w:r>
      <w:r>
        <w:t xml:space="preserve">konsisten dan dapat ditelusuri, bukan oleh kewajiban QLSTM menghasilkan</w:t>
      </w:r>
      <w:r>
        <w:t xml:space="preserve"> </w:t>
      </w:r>
      <w:r>
        <w:t xml:space="preserve">kinerja yang lebih baik daripada seluruh pembanding. Kriteria metodologis</w:t>
      </w:r>
      <w:r>
        <w:t xml:space="preserve"> </w:t>
      </w:r>
      <w:r>
        <w:t xml:space="preserve">meliputi terbentuknya model PLTMH–ELC yang tervalidasi untuk scope penelitian,</w:t>
      </w:r>
      <w:r>
        <w:t xml:space="preserve"> </w:t>
      </w:r>
      <w:r>
        <w:t xml:space="preserve">tersedianya target gain dan dataset temporal tanpa leakage antar keluarga,</w:t>
      </w:r>
      <w:r>
        <w:t xml:space="preserve"> </w:t>
      </w:r>
      <w:r>
        <w:t xml:space="preserve">berhasilnya pelatihan LSTM dan QLSTM dengan kontrak data yang sama, serta</w:t>
      </w:r>
      <w:r>
        <w:t xml:space="preserve"> </w:t>
      </w:r>
      <w:r>
        <w:t xml:space="preserve">terintegrasinya kedua model sebagai scheduler gain pada simulasi closed-loop.</w:t>
      </w:r>
    </w:p>
    <w:p>
      <w:pPr>
        <w:pStyle w:val="BodyText"/>
      </w:pPr>
      <w:r>
        <w:t xml:space="preserve">Tahap evaluasi dianggap berhasil apabila PI gain tetap, LSTM–PI, dan QLSTM–PI</w:t>
      </w:r>
      <w:r>
        <w:t xml:space="preserve"> </w:t>
      </w:r>
      <w:r>
        <w:t xml:space="preserve">dapat dibandingkan menggunakan protokol yang sama dan metrik yang telah</w:t>
      </w:r>
      <w:r>
        <w:t xml:space="preserve"> </w:t>
      </w:r>
      <w:r>
        <w:t xml:space="preserve">dibekukan. RMSE deviasi frekuensi digunakan sebagai metrik primer, sedangkan</w:t>
      </w:r>
      <w:r>
        <w:t xml:space="preserve"> </w:t>
      </w:r>
      <w:r>
        <w:t xml:space="preserve">indikator dinamik dan beban komputasi digunakan untuk memperkaya interpretasi.</w:t>
      </w:r>
    </w:p>
    <w:p>
      <w:pPr>
        <w:pStyle w:val="BodyText"/>
      </w:pPr>
      <w:r>
        <w:t xml:space="preserve">Penelitian tidak mensyaratkan superioritas QLSTM sebagai kriteria keberhasilan.</w:t>
      </w:r>
      <w:r>
        <w:t xml:space="preserve"> </w:t>
      </w:r>
      <w:r>
        <w:t xml:space="preserve">Apabila QLSTM menunjukkan hasil setara atau lebih rendah dibandingkan LSTM</w:t>
      </w:r>
      <w:r>
        <w:t xml:space="preserve"> </w:t>
      </w:r>
      <w:r>
        <w:t xml:space="preserve">maupun PI gain tetap, hasil tersebut tetap merupakan temuan empiris yang sah</w:t>
      </w:r>
      <w:r>
        <w:t xml:space="preserve"> </w:t>
      </w:r>
      <w:r>
        <w:t xml:space="preserve">dan harus dilaporkan. Karena hanya terdapat dua keluarga dinamik uji primer</w:t>
      </w:r>
      <w:r>
        <w:t xml:space="preserve"> </w:t>
      </w:r>
      <w:r>
        <w:t xml:space="preserve">independen, tidak digunakan signifikansi statistik untuk menetapkan</w:t>
      </w:r>
      <w:r>
        <w:t xml:space="preserve"> </w:t>
      </w:r>
      <w:r>
        <w:t xml:space="preserve">keberhasilan atau superioritas salah satu pengendali.</w:t>
      </w:r>
    </w:p>
    <w:p>
      <w:pPr>
        <w:pStyle w:val="BodyText"/>
      </w:pPr>
      <w:r>
        <w:t xml:space="preserve">Kesimpulan akhir juga harus mempertahankan batas generalisasi. Regime G3 tidak</w:t>
      </w:r>
      <w:r>
        <w:t xml:space="preserve"> </w:t>
      </w:r>
      <w:r>
        <w:t xml:space="preserve">memiliki keluarga uji independen sehingga hasil pada CL04 hanya diperlakukan</w:t>
      </w:r>
      <w:r>
        <w:t xml:space="preserve"> </w:t>
      </w:r>
      <w:r>
        <w:t xml:space="preserve">sebagai diagnostik dalam distribusi dan bukan bukti generalisasi independen</w:t>
      </w:r>
      <w:r>
        <w:t xml:space="preserve"> </w:t>
      </w:r>
      <w:r>
        <w:t xml:space="preserve">terhadap G3.</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pPr>
        <w:pStyle w:val="FirstParagraph"/>
      </w:pPr>
      <w:r>
        <w:t xml:space="preserve">Alur penelitian dimulai dengan penetapan spesifikasi dan validasi model</w:t>
      </w:r>
      <w:r>
        <w:t xml:space="preserve"> </w:t>
      </w:r>
      <w:r>
        <w:t xml:space="preserve">PLTMH–ELC sesuai scope simulasi akhir. PI gain tetap kemudian ditetapkan</w:t>
      </w:r>
      <w:r>
        <w:t xml:space="preserve"> </w:t>
      </w:r>
      <w:r>
        <w:t xml:space="preserve">sebagai baseline dan fallback, sedangkan ruang label digunakan untuk membentuk</w:t>
      </w:r>
      <w:r>
        <w:t xml:space="preserve"> </w:t>
      </w:r>
      <w:r>
        <w:t xml:space="preserve">envelope gain admissible yang akan diterapkan secara konsisten selama</w:t>
      </w:r>
      <w:r>
        <w:t xml:space="preserve"> </w:t>
      </w:r>
      <w:r>
        <w:t xml:space="preserve">evaluasi.</w:t>
      </w:r>
    </w:p>
    <w:p>
      <w:pPr>
        <w:pStyle w:val="BodyText"/>
      </w:pPr>
      <w:r>
        <w:t xml:space="preserve">Tahap berikutnya membentuk target</w:t>
      </w:r>
      <w:r>
        <w:t xml:space="preserve"> </w:t>
      </w:r>
      <m:oMath>
        <m:sSubSup>
          <m:e>
            <m:r>
              <m:t>K</m:t>
            </m:r>
          </m:e>
          <m:sub>
            <m:r>
              <m:t>p</m:t>
            </m:r>
          </m:sub>
          <m:sup>
            <m:r>
              <m:rPr>
                <m:sty m:val="p"/>
              </m:rPr>
              <m:t>*</m:t>
            </m:r>
          </m:sup>
        </m:sSubSup>
      </m:oMath>
      <w:r>
        <w:t xml:space="preserve"> </w:t>
      </w:r>
      <w:r>
        <w:t xml:space="preserve">dan</w:t>
      </w:r>
      <w:r>
        <w:t xml:space="preserve"> </w:t>
      </w:r>
      <m:oMath>
        <m:sSubSup>
          <m:e>
            <m:r>
              <m:t>K</m:t>
            </m:r>
          </m:e>
          <m:sub>
            <m:r>
              <m:t>i</m:t>
            </m:r>
          </m:sub>
          <m:sup>
            <m:r>
              <m:rPr>
                <m:sty m:val="p"/>
              </m:rPr>
              <m:t>*</m:t>
            </m:r>
          </m:sup>
        </m:sSubSup>
      </m:oMath>
      <w:r>
        <w:t xml:space="preserve"> </w:t>
      </w:r>
      <w:r>
        <w:t xml:space="preserve">melalui pencarian</w:t>
      </w:r>
      <w:r>
        <w:t xml:space="preserve"> </w:t>
      </w:r>
      <w:r>
        <w:t xml:space="preserve">grid bertahap secara luring. Hasil simulasi kemudian diubah menjadi dataset</w:t>
      </w:r>
      <w:r>
        <w:t xml:space="preserve"> </w:t>
      </w:r>
      <w:r>
        <w:t xml:space="preserve">temporal empat fitur menggunakan jendela 11 observasi pada 20 Hz. Dataset</w:t>
      </w:r>
      <w:r>
        <w:t xml:space="preserve"> </w:t>
      </w:r>
      <w:r>
        <w:t xml:space="preserve">dipisahkan pada tingkat keluarga dinamik dengan komposisi tujuh keluarga untuk</w:t>
      </w:r>
      <w:r>
        <w:t xml:space="preserve"> </w:t>
      </w:r>
      <w:r>
        <w:t xml:space="preserve">pelatihan, dua untuk validasi, dan dua untuk pengujian. Standardisasi fitur dan</w:t>
      </w:r>
      <w:r>
        <w:t xml:space="preserve"> </w:t>
      </w:r>
      <w:r>
        <w:t xml:space="preserve">target dihitung hanya dari data latih untuk mencegah leakage.</w:t>
      </w:r>
    </w:p>
    <w:p>
      <w:pPr>
        <w:pStyle w:val="BodyText"/>
      </w:pPr>
      <w:r>
        <w:t xml:space="preserve">LSTM dan QLSTM dilatih menggunakan input, target, dan split yang sama. Setelah</w:t>
      </w:r>
      <w:r>
        <w:t xml:space="preserve"> </w:t>
      </w:r>
      <w:r>
        <w:t xml:space="preserve">model akhir dibekukan, keduanya diintegrasikan sebagai scheduler gain PI.</w:t>
      </w:r>
      <w:r>
        <w:t xml:space="preserve"> </w:t>
      </w:r>
      <w:r>
        <w:t xml:space="preserve">Keluaran model menjalani inverse target scaling, pemeriksaan nilai berhingga,</w:t>
      </w:r>
      <w:r>
        <w:t xml:space="preserve"> </w:t>
      </w:r>
      <w:r>
        <w:t xml:space="preserve">clipping pada envelope gain admissible, serta pembatasan laju perubahan gain.</w:t>
      </w:r>
      <w:r>
        <w:t xml:space="preserve"> </w:t>
      </w:r>
      <w:r>
        <w:t xml:space="preserve">Gain kemudian diterapkan pada PI dengan pembaruan scheduler 10 Hz, sedangkan</w:t>
      </w:r>
      <w:r>
        <w:t xml:space="preserve"> </w:t>
      </w:r>
      <w:r>
        <w:t xml:space="preserve">observasi sistem dilakukan pada 20 Hz.</w:t>
      </w:r>
    </w:p>
    <w:p>
      <w:pPr>
        <w:pStyle w:val="BodyText"/>
      </w:pPr>
      <w:r>
        <w:t xml:space="preserve">Evaluasi closed-loop akhir membandingkan PI gain tetap, LSTM–PI, dan QLSTM–PI</w:t>
      </w:r>
      <w:r>
        <w:t xml:space="preserve"> </w:t>
      </w:r>
      <w:r>
        <w:t xml:space="preserve">pada empat skenario deterministik. CL01 dan CL02 mewakili dua keluarga dinamik</w:t>
      </w:r>
      <w:r>
        <w:t xml:space="preserve"> </w:t>
      </w:r>
      <w:r>
        <w:t xml:space="preserve">uji independen dan menjadi bukti primer. CL03 digunakan sebagai boundary</w:t>
      </w:r>
      <w:r>
        <w:t xml:space="preserve"> </w:t>
      </w:r>
      <w:r>
        <w:t xml:space="preserve">stress. CL04 digunakan sebagai diagnostik G3 dalam distribusi dan tidak</w:t>
      </w:r>
      <w:r>
        <w:t xml:space="preserve"> </w:t>
      </w:r>
      <w:r>
        <w:t xml:space="preserve">digunakan untuk membuat klaim generalisasi independen terhadap G3.</w:t>
      </w:r>
    </w:p>
    <w:p>
      <w:pPr>
        <w:pStyle w:val="BodyText"/>
      </w:pPr>
      <w:r>
        <w:t xml:space="preserve">Analisis akhir menggunakan RMSE deviasi frekuensi sebagai metrik primer dan</w:t>
      </w:r>
      <w:r>
        <w:t xml:space="preserve"> </w:t>
      </w:r>
      <w:r>
        <w:t xml:space="preserve">indikator dinamik serta beban komputasi sebagai bukti pendukung. Interpretasi</w:t>
      </w:r>
      <w:r>
        <w:t xml:space="preserve"> </w:t>
      </w:r>
      <w:r>
        <w:t xml:space="preserve">dilakukan secara deskriptif tanpa klaim signifikansi statistik. Simulasi Monte</w:t>
      </w:r>
      <w:r>
        <w:t xml:space="preserve"> </w:t>
      </w:r>
      <w:r>
        <w:t xml:space="preserve">Carlo tidak menjadi bagian dari tahap evaluasi primer dan ditempatkan sebagai</w:t>
      </w:r>
      <w:r>
        <w:t xml:space="preserve"> </w:t>
      </w:r>
      <w:r>
        <w:t xml:space="preserve">ruang pengembangan penelitian selanjutnya. Setelah hasil pengujian diperoleh,</w:t>
      </w:r>
      <w:r>
        <w:t xml:space="preserve"> </w:t>
      </w:r>
      <w:r>
        <w:t xml:space="preserve">tidak dilakukan pelatihan ulang model, pemilihan ulang skenario, maupun</w:t>
      </w:r>
      <w:r>
        <w:t xml:space="preserve"> </w:t>
      </w:r>
      <w:r>
        <w:t xml:space="preserve">perubahan kebijakan scheduler.</w:t>
      </w:r>
    </w:p>
    <w:p>
      <w:pPr>
        <w:pStyle w:val="Heading1"/>
        <w:pageBreakBefore/>
        <w:spacing w:before="0" w:after="720" w:line="360" w:lineRule="auto"/>
        <w:jc w:val="center"/>
        <w:rPr>
          <w:rFonts w:ascii="Times New Roman" w:eastAsia="Times New Roman" w:hAnsi="Times New Roman" w:cs="Times New Roman"/>
          <w:b/>
          <w:color w:val="000000" w:themeColor="text1"/>
        </w:rPr>
      </w:pPr>
      <w:r w:rsidRPr="002B0109">
        <w:rPr>
          <w:rFonts w:ascii="Times New Roman" w:eastAsia="Times New Roman" w:hAnsi="Times New Roman" w:cs="Times New Roman"/>
          <w:b/>
          <w:color w:val="000000" w:themeColor="text1"/>
        </w:rPr>
        <w:lastRenderedPageBreak/>
        <w:br/>
      </w:r>
      <w:r>
        <w:rPr>
          <w:rFonts w:ascii="Times New Roman" w:eastAsia="Times New Roman" w:hAnsi="Times New Roman" w:cs="Times New Roman"/>
          <w:b/>
          <w:color w:val="000000" w:themeColor="text1"/>
        </w:rPr>
        <w:t>HASIL DAN PEMBAHASAN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Kerangka Evaluasi Hasil</w:t>
      </w:r>
    </w:p>
    <w:p>
      <w:pPr>
        <w:pStyle w:val="FirstParagraph"/>
      </w:pPr>
      <w:r>
        <w:t xml:space="preserve">Evaluasi hasil dilakukan setelah model PLTMH–ELC, dataset, pembagian keluarga dinamik, model pembelajaran, serta kebijakan penjadwalan gain ditetapkan. Tahap </w:t>
      </w:r>
      <w:r>
        <w:rPr>
          <w:i/>
        </w:rPr>
        <w:t>closed-loop</w:t>
      </w:r>
      <w:r>
        <w:t xml:space="preserve"> membandingkan tiga konfigurasi pengendali, yaitu PI dengan gain tetap, LSTM–PI, dan QLSTM–PI. Ketiga konfigurasi menggunakan model plant, solver, kondisi operasi, batas gain, periode observasi, periode pembaruan gain, dan mekanisme pembatasan laju perubahan gain yang sama. Dengan rancangan tersebut, perbedaan respons yang diperoleh tidak berasal dari perubahan konfigurasi simulasi setelah hasil pengujian diketahui.</w:t>
      </w:r>
    </w:p>
    <w:p>
      <w:pPr>
        <w:pStyle w:val="FirstParagraph"/>
      </w:pPr>
      <w:r>
        <w:t xml:space="preserve">Evaluasi primer menggunakan dua keluarga dinamik uji independen, yaitu CL01 (D40_L-20) dan CL02 (D20_L+10). Kedua keluarga tersebut tidak digunakan sebagai keluarga pelatihan. CL03 (D20_L+20) ditempatkan sebagai skenario </w:t>
      </w:r>
      <w:r>
        <w:rPr>
          <w:i/>
        </w:rPr>
        <w:t>boundary stress</w:t>
      </w:r>
      <w:r>
        <w:t xml:space="preserve"> tanpa target gain supervisi yang keras, sedangkan CL04 (D30_L+20) digunakan sebagai diagnostik G3 dalam distribusi pelatihan. Oleh karena itu, hasil CL03 dan CL04 dibahas secara terpisah dan tidak digunakan untuk memperluas klaim generalisasi pada evaluasi primer.</w:t>
      </w:r>
    </w:p>
    <w:p>
      <w:pPr>
        <w:pStyle w:val="FirstParagraph"/>
      </w:pPr>
      <w:r>
        <w:t xml:space="preserve">Simulasi menggunakan RK4 langkah tetap dengan interval 0,0025 s. Gangguan diterapkan pada t = 2,50 s dan respons dievaluasi selama 7,50 s setelah gangguan. Data masukan model adaptif diamati pada 20 Hz, sedangkan gain PI diperbarui pada 10 Hz dengan mekanisme </w:t>
      </w:r>
      <w:r>
        <w:rPr>
          <w:i/>
        </w:rPr>
        <w:t>zero-order hold</w:t>
      </w:r>
      <w:r>
        <w:t xml:space="preserve"> di antara dua pembaruan. Pembaruan gain adaptif pertama diizinkan pada t = 2,60 s. Pengaturan tersebut telah ditetapkan sebelum simulasi komparatif dan tidak diubah berdasarkan hasil yang diperoleh.</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Kinerja Model dalam Mengestimasi Gain PI</w:t>
      </w:r>
    </w:p>
    <w:p>
      <w:pPr>
        <w:pStyle w:val="FirstParagraph"/>
      </w:pPr>
      <w:r>
        <w:t xml:space="preserve">Sebelum integrasi ke sistem </w:t>
      </w:r>
      <w:r>
        <w:rPr>
          <w:i/>
        </w:rPr>
        <w:t>closed-loop</w:t>
      </w:r>
      <w:r>
        <w:t>, model LSTM dan QLSTM dievaluasi terhadap target gain PI pada data uji yang telah dibekukan. MSE yang digunakan pada tahap ini dihitung terhadap target Kp dan Ki yang telah distandardisasi, sehingga nilainya merupakan ukuran galat regresi pada ruang target terstandardisasi dan bukan galat frekuensi dalam satuan hertz.</w:t>
      </w:r>
    </w:p>
    <w:p>
      <w:pPr>
        <w:pStyle w:val="Caption"/>
        <w:spacing w:before="120" w:after="240"/>
        <w:jc w:val="center"/>
        <w:rPr>
          <w:rFonts w:ascii="Times New Roman" w:hAnsi="Times New Roman" w:cs="Times New Roman"/>
          <w:i w:val="0"/>
          <w:iCs w:val="0"/>
          <w:sz w:val="24"/>
          <w:szCs w:val="24"/>
          <w:lang w:val="nb-NO"/>
        </w:rPr>
        <w:keepNext w:val="1"/>
        <w:pageBreakBefore w:val="1"/>
      </w:pPr>
      <w:r>
        <w:rPr>
          <w:b/>
        </w:rPr>
        <w:t>Tabel 4.1. Kinerja estimasi gain PI pada data uji</w:t>
      </w:r>
    </w:p>
    <w:tbl>
      <w:tblPr>
        <w:tblStyle w:val="Table"/>
        <w:tblW w:type="auto" w:w="0"/>
        <w:jc w:val="center"/>
        <w:tblLayout w:type="autofit"/>
        <w:tblLook w:firstColumn="1" w:firstRow="1" w:lastColumn="0" w:lastRow="0" w:noHBand="0" w:noVBand="1" w:val="04A0"/>
      </w:tblPr>
      <w:tblGrid>
        <w:gridCol w:w="2409"/>
        <w:gridCol w:w="2409"/>
        <w:gridCol w:w="2409"/>
        <w:gridCol w:w="2409"/>
      </w:tblGrid>
      <w:tr>
        <w:trPr>
          <w:tblHeader w:val="true"/>
          <w:cantSplit w:val="1"/>
        </w:trPr>
        <w:tc>
          <w:tcPr>
            <w:tcW w:type="dxa" w:w="2409"/>
            <w:vAlign w:val="center"/>
          </w:tcPr>
          <w:p>
            <w:pPr>
              <w:jc w:val="center"/>
              <w:keepNext w:val="1"/>
            </w:pPr>
            <w:r>
              <w:rPr>
                <w:b/>
              </w:rPr>
              <w:t>Model</w:t>
            </w:r>
          </w:p>
        </w:tc>
        <w:tc>
          <w:tcPr>
            <w:tcW w:type="dxa" w:w="2409"/>
            <w:vAlign w:val="center"/>
          </w:tcPr>
          <w:p>
            <w:pPr>
              <w:jc w:val="center"/>
              <w:keepNext w:val="1"/>
            </w:pPr>
            <w:r>
              <w:rPr>
                <w:b/>
              </w:rPr>
              <w:t>MSE target terstandardisasi</w:t>
            </w:r>
          </w:p>
        </w:tc>
        <w:tc>
          <w:tcPr>
            <w:tcW w:type="dxa" w:w="2409"/>
            <w:vAlign w:val="center"/>
          </w:tcPr>
          <w:p>
            <w:pPr>
              <w:jc w:val="center"/>
              <w:keepNext w:val="1"/>
            </w:pPr>
            <w:r>
              <w:rPr>
                <w:b/>
              </w:rPr>
              <w:t>RMSE Kp</w:t>
            </w:r>
          </w:p>
        </w:tc>
        <w:tc>
          <w:tcPr>
            <w:tcW w:type="dxa" w:w="2409"/>
            <w:vAlign w:val="center"/>
          </w:tcPr>
          <w:p>
            <w:pPr>
              <w:jc w:val="center"/>
              <w:keepNext w:val="1"/>
            </w:pPr>
            <w:r>
              <w:rPr>
                <w:b/>
              </w:rPr>
              <w:t>RMSE Ki</w:t>
            </w:r>
          </w:p>
        </w:tc>
      </w:tr>
      <w:tr>
        <w:trPr>
          <w:cantSplit w:val="1"/>
        </w:trPr>
        <w:tc>
          <w:tcPr>
            <w:tcW w:type="dxa" w:w="2409"/>
            <w:vAlign w:val="center"/>
          </w:tcPr>
          <w:p>
            <w:pPr>
              <w:jc w:val="left"/>
              <w:keepNext w:val="1"/>
            </w:pPr>
            <w:r>
              <w:t>LSTM</w:t>
            </w:r>
          </w:p>
        </w:tc>
        <w:tc>
          <w:tcPr>
            <w:tcW w:type="dxa" w:w="2409"/>
            <w:vAlign w:val="center"/>
          </w:tcPr>
          <w:p>
            <w:pPr>
              <w:jc w:val="right"/>
              <w:keepNext w:val="1"/>
            </w:pPr>
            <w:r>
              <w:t>0,868629</w:t>
            </w:r>
          </w:p>
        </w:tc>
        <w:tc>
          <w:tcPr>
            <w:tcW w:type="dxa" w:w="2409"/>
            <w:vAlign w:val="center"/>
          </w:tcPr>
          <w:p>
            <w:pPr>
              <w:jc w:val="right"/>
              <w:keepNext w:val="1"/>
            </w:pPr>
            <w:r>
              <w:t>0,289101</w:t>
            </w:r>
          </w:p>
        </w:tc>
        <w:tc>
          <w:tcPr>
            <w:tcW w:type="dxa" w:w="2409"/>
            <w:vAlign w:val="center"/>
          </w:tcPr>
          <w:p>
            <w:pPr>
              <w:jc w:val="right"/>
              <w:keepNext w:val="1"/>
            </w:pPr>
            <w:r>
              <w:t>4,157301</w:t>
            </w:r>
          </w:p>
        </w:tc>
      </w:tr>
      <w:tr>
        <w:trPr>
          <w:cantSplit w:val="1"/>
        </w:trPr>
        <w:tc>
          <w:tcPr>
            <w:tcW w:type="dxa" w:w="2409"/>
            <w:vAlign w:val="center"/>
          </w:tcPr>
          <w:p>
            <w:pPr>
              <w:jc w:val="left"/>
            </w:pPr>
            <w:r>
              <w:t>QLSTM</w:t>
            </w:r>
          </w:p>
        </w:tc>
        <w:tc>
          <w:tcPr>
            <w:tcW w:type="dxa" w:w="2409"/>
            <w:vAlign w:val="center"/>
          </w:tcPr>
          <w:p>
            <w:pPr>
              <w:jc w:val="right"/>
            </w:pPr>
            <w:r>
              <w:t>2,963549</w:t>
            </w:r>
          </w:p>
        </w:tc>
        <w:tc>
          <w:tcPr>
            <w:tcW w:type="dxa" w:w="2409"/>
            <w:vAlign w:val="center"/>
          </w:tcPr>
          <w:p>
            <w:pPr>
              <w:jc w:val="right"/>
            </w:pPr>
            <w:r>
              <w:t>0,515339</w:t>
            </w:r>
          </w:p>
        </w:tc>
        <w:tc>
          <w:tcPr>
            <w:tcW w:type="dxa" w:w="2409"/>
            <w:vAlign w:val="center"/>
          </w:tcPr>
          <w:p>
            <w:pPr>
              <w:jc w:val="right"/>
            </w:pPr>
            <w:r>
              <w:t>7,789278</w:t>
            </w:r>
          </w:p>
        </w:tc>
      </w:tr>
    </w:tbl>
    <w:p>
      <w:pPr>
        <w:pStyle w:val="FirstParagraph"/>
      </w:pPr>
      <w:r>
        <w:t>Tabel 4.1 menunjukkan bahwa LSTM menghasilkan MSE terstandardisasi 0,868629, sedangkan QLSTM menghasilkan 2,963549. Pada model beku yang dievaluasi, MSE QLSTM sekitar 241,18% lebih tinggi daripada LSTM. RMSE Kp dan Ki QLSTM juga lebih tinggi daripada LSTM pada data uji yang sama.</w:t>
      </w:r>
    </w:p>
    <w:p>
      <w:pPr>
        <w:pStyle w:val="FirstParagraph"/>
      </w:pPr>
      <w:r>
        <w:t xml:space="preserve">Hasil tersebut menunjukkan bahwa </w:t>
      </w:r>
      <w:r>
        <w:rPr>
          <w:b/>
        </w:rPr>
        <w:t>arsitektur QLSTM yang digunakan dalam konfigurasi penelitian ini belum menghasilkan akurasi estimasi gain yang lebih baik daripada LSTM</w:t>
      </w:r>
      <w:r>
        <w:t xml:space="preserve">. Temuan ini tidak ditafsirkan sebagai bukti bahwa komponen kuantum secara umum menurunkan kinerja. QLSTM yang diuji merupakan arsitektur </w:t>
      </w:r>
      <w:r>
        <w:rPr>
          <w:i/>
        </w:rPr>
        <w:t>hybrid quantum–classical</w:t>
      </w:r>
      <w:r>
        <w:t xml:space="preserve"> dengan 5.422 parameter, yang terdiri atas 48 parameter kuantum dan komponen klasik yang membentuk sebagian besar parameter model. Kesimpulan karena itu dibatasi pada arsitektur, dataset, proses pelatihan, dan pembagian data yang digunakan dalam penelitian ini.</w:t>
      </w:r>
    </w:p>
    <w:p>
      <w:pPr>
        <w:pStyle w:val="FirstParagraph"/>
      </w:pPr>
      <w:r>
        <w:t xml:space="preserve">Galat estimasi gain juga tidak dapat digunakan secara langsung sebagai ukuran akhir kinerja pengendalian. Pengaruh suatu pasangan Kp dan Ki terhadap respons frekuensi ditentukan oleh dinamika plant, kondisi operasi, pembatasan gain, dan sensitivitas sistem </w:t>
      </w:r>
      <w:r>
        <w:rPr>
          <w:i/>
        </w:rPr>
        <w:t>closed-loop</w:t>
      </w:r>
      <w:r>
        <w:t>. Evaluasi berikutnya karena itu memeriksa secara langsung respons frekuensi setelah LSTM dan QLSTM diintegrasikan sebagai penjadwal gain PI.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Hasil Utama Closed-Loop pada Keluarga Uji Independen</w:t>
      </w:r>
    </w:p>
    <w:p>
      <w:pPr>
        <w:pStyle w:val="FirstParagraph"/>
      </w:pPr>
      <w:r>
        <w:t xml:space="preserve">Evaluasi primer </w:t>
      </w:r>
      <w:r>
        <w:rPr>
          <w:i/>
        </w:rPr>
        <w:t>closed-loop</w:t>
      </w:r>
      <w:r>
        <w:t xml:space="preserve"> menggunakan CL01 dan CL02 sebagai dua keluarga dinamik uji independen. Metrik utama yang telah ditetapkan adalah RMSE deviasi frekuensi selama horizon 7,50 s setelah gangguan. Hasil setiap keluarga disajikan pada Tabel 4.2.</w:t>
      </w:r>
    </w:p>
    <w:p>
      <w:pPr>
        <w:pStyle w:val="Caption"/>
        <w:spacing w:before="120" w:after="240"/>
        <w:jc w:val="center"/>
        <w:rPr>
          <w:rFonts w:ascii="Times New Roman" w:hAnsi="Times New Roman" w:cs="Times New Roman"/>
          <w:i w:val="0"/>
          <w:iCs w:val="0"/>
          <w:sz w:val="24"/>
          <w:szCs w:val="24"/>
          <w:lang w:val="nb-NO"/>
        </w:rPr>
        <w:keepNext w:val="1"/>
        <w:pageBreakBefore w:val="1"/>
      </w:pPr>
      <w:r>
        <w:rPr>
          <w:b/>
        </w:rPr>
        <w:t>Tabel 4.2. RMSE deviasi frekuensi pada keluarga uji independen</w:t>
      </w:r>
    </w:p>
    <w:tbl>
      <w:tblPr>
        <w:tblStyle w:val="Table"/>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cantSplit w:val="1"/>
        </w:trPr>
        <w:tc>
          <w:tcPr>
            <w:tcW w:type="dxa" w:w="1606"/>
            <w:vAlign w:val="center"/>
          </w:tcPr>
          <w:p>
            <w:pPr>
              <w:jc w:val="center"/>
              <w:keepNext w:val="1"/>
            </w:pPr>
            <w:r>
              <w:rPr>
                <w:b/>
              </w:rPr>
              <w:t>Skenario</w:t>
            </w:r>
          </w:p>
        </w:tc>
        <w:tc>
          <w:tcPr>
            <w:tcW w:type="dxa" w:w="1606"/>
            <w:vAlign w:val="center"/>
          </w:tcPr>
          <w:p>
            <w:pPr>
              <w:jc w:val="center"/>
              <w:keepNext w:val="1"/>
            </w:pPr>
            <w:r>
              <w:rPr>
                <w:b/>
              </w:rPr>
              <w:t>Keluarga</w:t>
            </w:r>
          </w:p>
        </w:tc>
        <w:tc>
          <w:tcPr>
            <w:tcW w:type="dxa" w:w="1606"/>
            <w:vAlign w:val="center"/>
          </w:tcPr>
          <w:p>
            <w:pPr>
              <w:jc w:val="center"/>
              <w:keepNext w:val="1"/>
            </w:pPr>
            <w:r>
              <w:rPr>
                <w:b/>
              </w:rPr>
              <w:t>PI gain tetap (Hz)</w:t>
            </w:r>
          </w:p>
        </w:tc>
        <w:tc>
          <w:tcPr>
            <w:tcW w:type="dxa" w:w="1606"/>
            <w:vAlign w:val="center"/>
          </w:tcPr>
          <w:p>
            <w:pPr>
              <w:jc w:val="center"/>
              <w:keepNext w:val="1"/>
            </w:pPr>
            <w:r>
              <w:rPr>
                <w:b/>
              </w:rPr>
              <w:t>LSTM–PI (Hz)</w:t>
            </w:r>
          </w:p>
        </w:tc>
        <w:tc>
          <w:tcPr>
            <w:tcW w:type="dxa" w:w="1606"/>
            <w:vAlign w:val="center"/>
          </w:tcPr>
          <w:p>
            <w:pPr>
              <w:jc w:val="center"/>
              <w:keepNext w:val="1"/>
            </w:pPr>
            <w:r>
              <w:rPr>
                <w:b/>
              </w:rPr>
              <w:t>QLSTM–PI (Hz)</w:t>
            </w:r>
          </w:p>
        </w:tc>
        <w:tc>
          <w:tcPr>
            <w:tcW w:type="dxa" w:w="1606"/>
            <w:vAlign w:val="center"/>
          </w:tcPr>
          <w:p>
            <w:pPr>
              <w:jc w:val="center"/>
              <w:keepNext w:val="1"/>
            </w:pPr>
            <w:r>
              <w:rPr>
                <w:b/>
              </w:rPr>
              <w:t>RMSE terendah</w:t>
            </w:r>
          </w:p>
        </w:tc>
      </w:tr>
      <w:tr>
        <w:trPr>
          <w:cantSplit w:val="1"/>
        </w:trPr>
        <w:tc>
          <w:tcPr>
            <w:tcW w:type="dxa" w:w="1606"/>
            <w:vAlign w:val="center"/>
          </w:tcPr>
          <w:p>
            <w:pPr>
              <w:jc w:val="left"/>
              <w:keepNext w:val="1"/>
            </w:pPr>
            <w:r>
              <w:t>CL01</w:t>
            </w:r>
          </w:p>
        </w:tc>
        <w:tc>
          <w:tcPr>
            <w:tcW w:type="dxa" w:w="1606"/>
            <w:vAlign w:val="center"/>
          </w:tcPr>
          <w:p>
            <w:pPr>
              <w:jc w:val="left"/>
              <w:keepNext w:val="1"/>
            </w:pPr>
            <w:r>
              <w:t>D40_L-20</w:t>
            </w:r>
          </w:p>
        </w:tc>
        <w:tc>
          <w:tcPr>
            <w:tcW w:type="dxa" w:w="1606"/>
            <w:vAlign w:val="center"/>
          </w:tcPr>
          <w:p>
            <w:pPr>
              <w:jc w:val="right"/>
              <w:keepNext w:val="1"/>
            </w:pPr>
            <w:r>
              <w:t>0,016638</w:t>
            </w:r>
          </w:p>
        </w:tc>
        <w:tc>
          <w:tcPr>
            <w:tcW w:type="dxa" w:w="1606"/>
            <w:vAlign w:val="center"/>
          </w:tcPr>
          <w:p>
            <w:pPr>
              <w:jc w:val="right"/>
              <w:keepNext w:val="1"/>
            </w:pPr>
            <w:r>
              <w:t>0,020160</w:t>
            </w:r>
          </w:p>
        </w:tc>
        <w:tc>
          <w:tcPr>
            <w:tcW w:type="dxa" w:w="1606"/>
            <w:vAlign w:val="center"/>
          </w:tcPr>
          <w:p>
            <w:pPr>
              <w:jc w:val="right"/>
              <w:keepNext w:val="1"/>
            </w:pPr>
            <w:r>
              <w:t>0,023913</w:t>
            </w:r>
          </w:p>
        </w:tc>
        <w:tc>
          <w:tcPr>
            <w:tcW w:type="dxa" w:w="1606"/>
            <w:vAlign w:val="center"/>
          </w:tcPr>
          <w:p>
            <w:pPr>
              <w:jc w:val="left"/>
              <w:keepNext w:val="1"/>
            </w:pPr>
            <w:r>
              <w:t>PI gain tetap</w:t>
            </w:r>
          </w:p>
        </w:tc>
      </w:tr>
      <w:tr>
        <w:trPr>
          <w:cantSplit w:val="1"/>
        </w:trPr>
        <w:tc>
          <w:tcPr>
            <w:tcW w:type="dxa" w:w="1606"/>
            <w:vAlign w:val="center"/>
          </w:tcPr>
          <w:p>
            <w:pPr>
              <w:jc w:val="left"/>
              <w:keepNext w:val="1"/>
            </w:pPr>
            <w:r>
              <w:t>CL02</w:t>
            </w:r>
          </w:p>
        </w:tc>
        <w:tc>
          <w:tcPr>
            <w:tcW w:type="dxa" w:w="1606"/>
            <w:vAlign w:val="center"/>
          </w:tcPr>
          <w:p>
            <w:pPr>
              <w:jc w:val="left"/>
              <w:keepNext w:val="1"/>
            </w:pPr>
            <w:r>
              <w:t>D20_L+10</w:t>
            </w:r>
          </w:p>
        </w:tc>
        <w:tc>
          <w:tcPr>
            <w:tcW w:type="dxa" w:w="1606"/>
            <w:vAlign w:val="center"/>
          </w:tcPr>
          <w:p>
            <w:pPr>
              <w:jc w:val="right"/>
              <w:keepNext w:val="1"/>
            </w:pPr>
            <w:r>
              <w:t>0,008319</w:t>
            </w:r>
          </w:p>
        </w:tc>
        <w:tc>
          <w:tcPr>
            <w:tcW w:type="dxa" w:w="1606"/>
            <w:vAlign w:val="center"/>
          </w:tcPr>
          <w:p>
            <w:pPr>
              <w:jc w:val="right"/>
              <w:keepNext w:val="1"/>
            </w:pPr>
            <w:r>
              <w:t>0,007460</w:t>
            </w:r>
          </w:p>
        </w:tc>
        <w:tc>
          <w:tcPr>
            <w:tcW w:type="dxa" w:w="1606"/>
            <w:vAlign w:val="center"/>
          </w:tcPr>
          <w:p>
            <w:pPr>
              <w:jc w:val="right"/>
              <w:keepNext w:val="1"/>
            </w:pPr>
            <w:r>
              <w:t>0,008388</w:t>
            </w:r>
          </w:p>
        </w:tc>
        <w:tc>
          <w:tcPr>
            <w:tcW w:type="dxa" w:w="1606"/>
            <w:vAlign w:val="center"/>
          </w:tcPr>
          <w:p>
            <w:pPr>
              <w:jc w:val="left"/>
              <w:keepNext w:val="1"/>
            </w:pPr>
            <w:r>
              <w:t>LSTM–PI</w:t>
            </w:r>
          </w:p>
        </w:tc>
      </w:tr>
      <w:tr>
        <w:trPr>
          <w:cantSplit w:val="1"/>
        </w:trPr>
        <w:tc>
          <w:tcPr>
            <w:tcW w:type="dxa" w:w="1606"/>
            <w:vAlign w:val="center"/>
          </w:tcPr>
          <w:p>
            <w:pPr>
              <w:jc w:val="left"/>
            </w:pPr>
            <w:r>
              <w:rPr>
                <w:b/>
              </w:rPr>
              <w:t>Rerata tidak tertimbang</w:t>
            </w:r>
          </w:p>
        </w:tc>
        <w:tc>
          <w:tcPr>
            <w:tcW w:type="dxa" w:w="1606"/>
            <w:vAlign w:val="center"/>
          </w:tcPr>
          <w:p>
            <w:pPr>
              <w:jc w:val="left"/>
            </w:pPr>
            <w:r>
              <w:rPr>
                <w:b/>
              </w:rPr>
              <w:t>2 keluarga</w:t>
            </w:r>
          </w:p>
        </w:tc>
        <w:tc>
          <w:tcPr>
            <w:tcW w:type="dxa" w:w="1606"/>
            <w:vAlign w:val="center"/>
          </w:tcPr>
          <w:p>
            <w:pPr>
              <w:jc w:val="right"/>
            </w:pPr>
            <w:r>
              <w:rPr>
                <w:b/>
              </w:rPr>
              <w:t>0,012478</w:t>
            </w:r>
          </w:p>
        </w:tc>
        <w:tc>
          <w:tcPr>
            <w:tcW w:type="dxa" w:w="1606"/>
            <w:vAlign w:val="center"/>
          </w:tcPr>
          <w:p>
            <w:pPr>
              <w:jc w:val="right"/>
            </w:pPr>
            <w:r>
              <w:rPr>
                <w:b/>
              </w:rPr>
              <w:t>0,013810</w:t>
            </w:r>
          </w:p>
        </w:tc>
        <w:tc>
          <w:tcPr>
            <w:tcW w:type="dxa" w:w="1606"/>
            <w:vAlign w:val="center"/>
          </w:tcPr>
          <w:p>
            <w:pPr>
              <w:jc w:val="right"/>
            </w:pPr>
            <w:r>
              <w:rPr>
                <w:b/>
              </w:rPr>
              <w:t>0,016150</w:t>
            </w:r>
          </w:p>
        </w:tc>
        <w:tc>
          <w:tcPr>
            <w:tcW w:type="dxa" w:w="1606"/>
            <w:vAlign w:val="center"/>
          </w:tcPr>
          <w:p>
            <w:pPr>
              <w:jc w:val="left"/>
            </w:pPr>
            <w:r>
              <w:rPr>
                <w:b/>
              </w:rPr>
              <w:t>PI gain tetap</w:t>
            </w:r>
          </w:p>
        </w:tc>
      </w:tr>
    </w:tbl>
    <w:p>
      <w:pPr>
        <w:pStyle w:val="FirstParagraph"/>
      </w:pPr>
      <w:r>
        <w:t>Rerata tidak tertimbang dari kedua keluarga uji menghasilkan RMSE 0,012478 Hz untuk PI gain tetap, 0,013810 Hz untuk LSTM–PI, dan 0,016150 Hz untuk QLSTM–PI. Dibandingkan PI gain tetap, rerata RMSE LSTM–PI lebih tinggi 10,67%, sedangkan QLSTM–PI lebih tinggi 29,42%. Rerata RMSE QLSTM–PI juga lebih tinggi 16,95% dibandingkan LSTM–PI.</w:t>
      </w:r>
    </w:p>
    <w:p>
      <w:pPr>
        <w:pStyle w:val="FirstParagraph"/>
      </w:pPr>
      <w:r>
        <w:t xml:space="preserve">Rerata tersebut bersifat </w:t>
      </w:r>
      <w:r>
        <w:rPr>
          <w:b/>
        </w:rPr>
        <w:t>deskriptif</w:t>
      </w:r>
      <w:r>
        <w:t xml:space="preserve">, karena evaluasi primer hanya terdiri atas dua keluarga dinamik independen. Ribuan titik waktu hasil RK4 maupun </w:t>
      </w:r>
      <w:r>
        <w:rPr>
          <w:i/>
        </w:rPr>
        <w:t>window</w:t>
      </w:r>
      <w:r>
        <w:t xml:space="preserve"> temporal dari masing-masing keluarga tidak diperlakukan sebagai observasi independen. Oleh karena itu, hasil pada bagian ini tidak digunakan untuk membuat klaim signifikansi statistik.</w:t>
      </w:r>
    </w:p>
    <w:p>
      <w:pPr>
        <w:keepNext/>
        <w:jc w:val="center"/>
      </w:pPr>
      <w:r>
        <w:drawing>
          <wp:inline xmlns:a="http://schemas.openxmlformats.org/drawingml/2006/main" xmlns:pic="http://schemas.openxmlformats.org/drawingml/2006/picture">
            <wp:extent cx="5630519" cy="3406983"/>
            <wp:docPr id="2045596143" name="Picture 2045596143"/>
            <wp:cNvGraphicFramePr>
              <a:graphicFrameLocks noChangeAspect="1"/>
            </wp:cNvGraphicFramePr>
            <a:graphic>
              <a:graphicData uri="http://schemas.openxmlformats.org/drawingml/2006/picture">
                <pic:pic>
                  <pic:nvPicPr>
                    <pic:cNvPr id="0" name="fig157_primary_rmse_comparison.png"/>
                    <pic:cNvPicPr/>
                  </pic:nvPicPr>
                  <pic:blipFill>
                    <a:blip r:embed="rId25"/>
                    <a:stretch>
                      <a:fillRect/>
                    </a:stretch>
                  </pic:blipFill>
                  <pic:spPr>
                    <a:xfrm>
                      <a:off x="0" y="0"/>
                      <a:ext cx="5630519" cy="3406983"/>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4.1.</w:t>
      </w:r>
      <w:r>
        <w:t xml:space="preserve"> Perbandingan RMSE deviasi frekuensi PI gain tetap, LSTM–PI, dan QLSTM–PI pada dua keluarga dinamik uji independen.</w:t>
      </w:r>
    </w:p>
    <w:p>
      <w:pPr>
        <w:pStyle w:val="FirstParagraph"/>
      </w:pPr>
      <w:r>
        <w:t>Tabel 4.2 dan Gambar 4.1 memperlihatkan perbedaan kinerja yang bergantung pada kondisi operasi. PI gain tetap menghasilkan RMSE terendah pada CL01, sedangkan LSTM–PI menghasilkan RMSE terendah pada CL02. Dengan demikian, LSTM–PI belum menunjukkan peningkatan yang konsisten terhadap PI gain tetap pada kedua keluarga uji. QLSTM–PI tidak menghasilkan RMSE terendah pada salah satu dari dua keluarga uji independen.</w:t>
      </w:r>
    </w:p>
    <w:p>
      <w:pPr>
        <w:pStyle w:val="FirstParagraph"/>
      </w:pPr>
      <w:r>
        <w:t xml:space="preserve">Bukti primer tersebut </w:t>
      </w:r>
      <w:r>
        <w:rPr>
          <w:b/>
        </w:rPr>
        <w:t>tidak mendukung klaim bahwa QLSTM–PI meningkatkan kinerja pengendalian frekuensi dibandingkan PI gain tetap maupun LSTM–PI</w:t>
      </w:r>
      <w:r>
        <w:t xml:space="preserve"> pada dua keluarga uji independen yang tersedia. Hasil ini dipertahankan sebagaimana diperoleh dari protokol yang telah dibekukan dan tidak digunakan untuk melakukan pelatihan ulang model, perubahan skenario, maupun penalaan ulang pengendali.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CL01 (D40_L-20)</w:t>
      </w:r>
    </w:p>
    <w:p>
      <w:pPr>
        <w:pStyle w:val="FirstParagraph"/>
      </w:pPr>
      <w:r>
        <w:t xml:space="preserve">CL01 merepresentasikan kondisi daya mekanik 90 kW, daya </w:t>
      </w:r>
      <w:r>
        <w:rPr>
          <w:i/>
        </w:rPr>
        <w:t>dump</w:t>
      </w:r>
      <w:r>
        <w:t xml:space="preserve"> awal 40 kW, dan penurunan beban konsumen sebesar 20 kW. Sebelum gangguan, beban konsumen sebesar 50 kW dan </w:t>
      </w:r>
      <w:r>
        <w:rPr>
          <w:i/>
        </w:rPr>
        <w:t>dump load</w:t>
      </w:r>
      <w:r>
        <w:t xml:space="preserve"> sebesar 40 kW. Setelah beban konsumen turun menjadi 30 kW, titik keseimbangan daya yang baru memerlukan peningkatan daya </w:t>
      </w:r>
      <w:r>
        <w:rPr>
          <w:i/>
        </w:rPr>
        <w:t>dump</w:t>
      </w:r>
      <w:r>
        <w:t xml:space="preserve"> menuju sekitar 60 kW.</w:t>
      </w:r>
    </w:p>
    <w:p>
      <w:pPr>
        <w:pStyle w:val="FirstParagraph"/>
      </w:pPr>
      <w:r>
        <w:t xml:space="preserve">Pada skenario ini, PI gain tetap menghasilkan RMSE deviasi frekuensi sebesar 0,016638 Hz. LSTM–PI menghasilkan RMSE 0,020160 Hz, sedangkan QLSTM–PI menghasilkan 0,023913 Hz. Dibandingkan PI gain tetap, RMSE LSTM–PI meningkat 21,17% dan RMSE QLSTM–PI meningkat 43,72%. Penyajian dalam bentuk kenaikan RMSE digunakan agar arah perubahan kinerja tidak bergantung pada tanda negatif dari definisi persentase </w:t>
      </w:r>
      <w:r>
        <w:rPr>
          <w:i/>
        </w:rPr>
        <w:t>improvement</w:t>
      </w:r>
      <w:r>
        <w:t xml:space="preserve"> pada artefak evaluasi.</w:t>
      </w:r>
    </w:p>
    <w:p>
      <w:pPr>
        <w:keepNext/>
        <w:jc w:val="center"/>
      </w:pPr>
      <w:r>
        <w:drawing>
          <wp:inline xmlns:a="http://schemas.openxmlformats.org/drawingml/2006/main" xmlns:pic="http://schemas.openxmlformats.org/drawingml/2006/picture">
            <wp:extent cx="5630519" cy="3269727"/>
            <wp:docPr id="2045596144" name="Picture 2045596144"/>
            <wp:cNvGraphicFramePr>
              <a:graphicFrameLocks noChangeAspect="1"/>
            </wp:cNvGraphicFramePr>
            <a:graphic>
              <a:graphicData uri="http://schemas.openxmlformats.org/drawingml/2006/picture">
                <pic:pic>
                  <pic:nvPicPr>
                    <pic:cNvPr id="0" name="fig157_cl01_frequency_response.png"/>
                    <pic:cNvPicPr/>
                  </pic:nvPicPr>
                  <pic:blipFill>
                    <a:blip r:embed="rId26"/>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4.2.</w:t>
      </w:r>
      <w:r>
        <w:t xml:space="preserve"> Respons deviasi frekuensi pada CL01 (D40_L-20). Garis putus-putus menunjukkan waktu pembaruan gain adaptif pertama pada t = 2,60 s.</w:t>
      </w:r>
    </w:p>
    <w:p>
      <w:pPr>
        <w:pStyle w:val="FirstParagraph"/>
      </w:pPr>
      <w:r>
        <w:t xml:space="preserve">Hasil tersebut menunjukkan bahwa penjadwalan gain adaptif pada CL01 belum memperbaiki RMSE dibandingkan PI gain tetap. Diagnostik scheduler memperlihatkan bahwa LSTM–PI memiliki </w:t>
      </w:r>
      <w:r>
        <w:rPr>
          <w:i/>
        </w:rPr>
        <w:t>clip fraction</w:t>
      </w:r>
      <w:r>
        <w:t xml:space="preserve"> 1,00 pada skenario ini, dengan rerata Ki yang diaplikasikan sekitar 3,10, yaitu dekat batas bawah Ki sebesar 3,0368. QLSTM–PI memiliki rerata Ki yang diaplikasikan sekitar 4,82 dan </w:t>
      </w:r>
      <w:r>
        <w:rPr>
          <w:i/>
        </w:rPr>
        <w:t>rate-limit fraction</w:t>
      </w:r>
      <w:r>
        <w:t xml:space="preserve"> yang lebih tinggi daripada LSTM–PI pada CL01. Informasi tersebut menunjukkan bahwa mekanisme pembatas gain aktif selama operasi, tetapi tidak digunakan untuk menyimpulkan hubungan sebab-akibat tunggal antara nilai gain tertentu dan peningkatan RMSE.</w:t>
      </w:r>
    </w:p>
    <w:p>
      <w:pPr>
        <w:keepNext/>
        <w:jc w:val="center"/>
      </w:pPr>
      <w:r>
        <w:drawing>
          <wp:inline xmlns:a="http://schemas.openxmlformats.org/drawingml/2006/main" xmlns:pic="http://schemas.openxmlformats.org/drawingml/2006/picture">
            <wp:extent cx="5630519" cy="4621794"/>
            <wp:docPr id="2045596145" name="Picture 2045596145"/>
            <wp:cNvGraphicFramePr>
              <a:graphicFrameLocks noChangeAspect="1"/>
            </wp:cNvGraphicFramePr>
            <a:graphic>
              <a:graphicData uri="http://schemas.openxmlformats.org/drawingml/2006/picture">
                <pic:pic>
                  <pic:nvPicPr>
                    <pic:cNvPr id="0" name="fig157_cl01_applied_gain_trajectories.png"/>
                    <pic:cNvPicPr/>
                  </pic:nvPicPr>
                  <pic:blipFill>
                    <a:blip r:embed="rId27"/>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4.3.</w:t>
      </w:r>
      <w:r>
        <w:t xml:space="preserve"> Trajektori Kp dan Ki yang diaplikasikan pada CL01 setelah melalui batas gain dan pembatasan laju perubahan yang sama.</w:t>
      </w:r>
    </w:p>
    <w:p>
      <w:pPr>
        <w:keepNext/>
        <w:jc w:val="center"/>
      </w:pPr>
      <w:r>
        <w:drawing>
          <wp:inline xmlns:a="http://schemas.openxmlformats.org/drawingml/2006/main" xmlns:pic="http://schemas.openxmlformats.org/drawingml/2006/picture">
            <wp:extent cx="5630519" cy="3269727"/>
            <wp:docPr id="2045596146" name="Picture 2045596146"/>
            <wp:cNvGraphicFramePr>
              <a:graphicFrameLocks noChangeAspect="1"/>
            </wp:cNvGraphicFramePr>
            <a:graphic>
              <a:graphicData uri="http://schemas.openxmlformats.org/drawingml/2006/picture">
                <pic:pic>
                  <pic:nvPicPr>
                    <pic:cNvPr id="0" name="fig157_cl01_dump_duty_response.png"/>
                    <pic:cNvPicPr/>
                  </pic:nvPicPr>
                  <pic:blipFill>
                    <a:blip r:embed="rId28"/>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4.4.</w:t>
      </w:r>
      <w:r>
        <w:t xml:space="preserve"> Respons </w:t>
      </w:r>
      <w:r>
        <w:rPr>
          <w:i/>
        </w:rPr>
        <w:t>duty</w:t>
      </w:r>
      <w:r>
        <w:t xml:space="preserve"> </w:t>
      </w:r>
      <w:r>
        <w:rPr>
          <w:i/>
        </w:rPr>
        <w:t>dump load</w:t>
      </w:r>
      <w:r>
        <w:t xml:space="preserve"> pada CL01 untuk ketiga konfigurasi pengendali.</w:t>
      </w:r>
    </w:p>
    <w:p>
      <w:pPr>
        <w:pStyle w:val="FirstParagraph"/>
      </w:pPr>
      <w:r>
        <w:t>Respons CL01 karena itu memperlihatkan bahwa fleksibilitas penjadwalan gain tidak dengan sendirinya menghasilkan respons frekuensi yang lebih baik. Pada kondisi D40_L-20 yang diuji, PI gain tetap tetap menghasilkan RMSE terendah meskipun LSTM–PI dan QLSTM–PI dapat mengubah gain selama fase pemulihan.</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Respons Closed-Loop pada CL02 (D20_L+10)</w:t>
      </w:r>
    </w:p>
    <w:p>
      <w:pPr>
        <w:pStyle w:val="FirstParagraph"/>
      </w:pPr>
      <w:r>
        <w:t xml:space="preserve">CL02 merepresentasikan kondisi daya mekanik 90 kW, daya </w:t>
      </w:r>
      <w:r>
        <w:rPr>
          <w:i/>
        </w:rPr>
        <w:t>dump</w:t>
      </w:r>
      <w:r>
        <w:t xml:space="preserve"> awal 20 kW, dan kenaikan beban konsumen sebesar 10 kW. Beban konsumen meningkat dari 70 kW menjadi 80 kW sehingga daya </w:t>
      </w:r>
      <w:r>
        <w:rPr>
          <w:i/>
        </w:rPr>
        <w:t>dump</w:t>
      </w:r>
      <w:r>
        <w:t xml:space="preserve"> yang diperlukan pada keseimbangan baru berkurang dari 20 kW menuju sekitar 10 kW.</w:t>
      </w:r>
    </w:p>
    <w:p>
      <w:pPr>
        <w:pStyle w:val="FirstParagraph"/>
      </w:pPr>
      <w:r>
        <w:t>PI gain tetap menghasilkan RMSE deviasi frekuensi sebesar 0,008319 Hz. LSTM–PI menghasilkan 0,007460 Hz sehingga RMSE menurun 10,33% dibandingkan PI gain tetap. QLSTM–PI menghasilkan RMSE 0,008388 Hz atau sekitar 0,83% lebih tinggi daripada PI gain tetap. Dengan demikian, hanya LSTM–PI yang menghasilkan RMSE lebih rendah daripada PI gain tetap pada CL02.</w:t>
      </w:r>
    </w:p>
    <w:p>
      <w:pPr>
        <w:keepNext/>
        <w:jc w:val="center"/>
      </w:pPr>
      <w:r>
        <w:drawing>
          <wp:inline xmlns:a="http://schemas.openxmlformats.org/drawingml/2006/main" xmlns:pic="http://schemas.openxmlformats.org/drawingml/2006/picture">
            <wp:extent cx="5630519" cy="3269727"/>
            <wp:docPr id="2045596147" name="Picture 2045596147"/>
            <wp:cNvGraphicFramePr>
              <a:graphicFrameLocks noChangeAspect="1"/>
            </wp:cNvGraphicFramePr>
            <a:graphic>
              <a:graphicData uri="http://schemas.openxmlformats.org/drawingml/2006/picture">
                <pic:pic>
                  <pic:nvPicPr>
                    <pic:cNvPr id="0" name="fig157_cl02_frequency_response.png"/>
                    <pic:cNvPicPr/>
                  </pic:nvPicPr>
                  <pic:blipFill>
                    <a:blip r:embed="rId29"/>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4.5.</w:t>
      </w:r>
      <w:r>
        <w:t xml:space="preserve"> Respons deviasi frekuensi pada CL02 (D20_L+10). LSTM–PI menghasilkan RMSE terendah pada skenario ini.</w:t>
      </w:r>
    </w:p>
    <w:p>
      <w:pPr>
        <w:pStyle w:val="FirstParagraph"/>
      </w:pPr>
      <w:r>
        <w:t>Hasil CL02 menunjukkan bahwa penjadwalan gain dapat memberikan manfaat pada kondisi operasi tertentu, tetapi temuan tersebut tidak dapat diperluas sebagai keunggulan LSTM–PI yang konsisten karena hasil CL01 menunjukkan arah yang berbeda. Dengan kata lain, manfaat LSTM–PI pada evaluasi primer bersifat bergantung pada keluarga dinamik yang diuji.</w:t>
      </w:r>
    </w:p>
    <w:p>
      <w:pPr>
        <w:pStyle w:val="FirstParagraph"/>
      </w:pPr>
      <w:r>
        <w:t xml:space="preserve">Pada CL02, rerata gain QLSTM–PI yang diaplikasikan adalah sekitar Kp = 3,26 dan Ki = 13,21. Nilai tersebut berada dekat sisi atas rentang gain yang dibekukan, yaitu Kp maksimum 3,36 dan Ki maksimum 14,144. </w:t>
      </w:r>
      <w:r>
        <w:rPr>
          <w:i/>
        </w:rPr>
        <w:t>Clip fraction</w:t>
      </w:r>
      <w:r>
        <w:t xml:space="preserve"> QLSTM–PI pada CL02 sebesar sekitar 0,689, sedangkan LSTM–PI tidak mengalami clipping pada skenario yang sama. Kondisi ini menunjukkan bahwa gain guard bekerja secara material pada keluaran QLSTM. Hubungan antara kondisi tersebut dan respons </w:t>
      </w:r>
      <w:r>
        <w:rPr>
          <w:i/>
        </w:rPr>
        <w:t>closed-loop</w:t>
      </w:r>
      <w:r>
        <w:t xml:space="preserve"> diperlakukan sebagai bukti deskriptif, bukan sebagai hubungan kausal yang berdiri sendiri.</w:t>
      </w:r>
    </w:p>
    <w:p>
      <w:pPr>
        <w:keepNext/>
        <w:jc w:val="center"/>
      </w:pPr>
      <w:r>
        <w:drawing>
          <wp:inline xmlns:a="http://schemas.openxmlformats.org/drawingml/2006/main" xmlns:pic="http://schemas.openxmlformats.org/drawingml/2006/picture">
            <wp:extent cx="5630519" cy="4621794"/>
            <wp:docPr id="2045596148" name="Picture 2045596148"/>
            <wp:cNvGraphicFramePr>
              <a:graphicFrameLocks noChangeAspect="1"/>
            </wp:cNvGraphicFramePr>
            <a:graphic>
              <a:graphicData uri="http://schemas.openxmlformats.org/drawingml/2006/picture">
                <pic:pic>
                  <pic:nvPicPr>
                    <pic:cNvPr id="0" name="fig157_cl02_applied_gain_trajectories.png"/>
                    <pic:cNvPicPr/>
                  </pic:nvPicPr>
                  <pic:blipFill>
                    <a:blip r:embed="rId30"/>
                    <a:stretch>
                      <a:fillRect/>
                    </a:stretch>
                  </pic:blipFill>
                  <pic:spPr>
                    <a:xfrm>
                      <a:off x="0" y="0"/>
                      <a:ext cx="5630519" cy="4621794"/>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4.6.</w:t>
      </w:r>
      <w:r>
        <w:t xml:space="preserve"> Trajektori Kp dan Ki yang diaplikasikan pada CL02 setelah melalui kebijakan pembatasan gain yang sama.</w:t>
      </w:r>
    </w:p>
    <w:p>
      <w:pPr>
        <w:keepNext/>
        <w:jc w:val="center"/>
      </w:pPr>
      <w:r>
        <w:drawing>
          <wp:inline xmlns:a="http://schemas.openxmlformats.org/drawingml/2006/main" xmlns:pic="http://schemas.openxmlformats.org/drawingml/2006/picture">
            <wp:extent cx="5630519" cy="3269727"/>
            <wp:docPr id="2045596149" name="Picture 2045596149"/>
            <wp:cNvGraphicFramePr>
              <a:graphicFrameLocks noChangeAspect="1"/>
            </wp:cNvGraphicFramePr>
            <a:graphic>
              <a:graphicData uri="http://schemas.openxmlformats.org/drawingml/2006/picture">
                <pic:pic>
                  <pic:nvPicPr>
                    <pic:cNvPr id="0" name="fig157_cl02_dump_duty_response.png"/>
                    <pic:cNvPicPr/>
                  </pic:nvPicPr>
                  <pic:blipFill>
                    <a:blip r:embed="rId31"/>
                    <a:stretch>
                      <a:fillRect/>
                    </a:stretch>
                  </pic:blipFill>
                  <pic:spPr>
                    <a:xfrm>
                      <a:off x="0" y="0"/>
                      <a:ext cx="5630519" cy="3269727"/>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4.7.</w:t>
      </w:r>
      <w:r>
        <w:t xml:space="preserve"> Respons </w:t>
      </w:r>
      <w:r>
        <w:rPr>
          <w:i/>
        </w:rPr>
        <w:t>duty</w:t>
      </w:r>
      <w:r>
        <w:t xml:space="preserve"> </w:t>
      </w:r>
      <w:r>
        <w:rPr>
          <w:i/>
        </w:rPr>
        <w:t>dump load</w:t>
      </w:r>
      <w:r>
        <w:t xml:space="preserve"> pada CL02 untuk ketiga konfigurasi pengendali.</w:t>
      </w:r>
    </w:p>
    <w:p>
      <w:pPr>
        <w:pStyle w:val="FirstParagraph"/>
      </w:pPr>
      <w:r>
        <w:t>Perbedaan hasil CL01 dan CL02 menegaskan bahwa evaluasi model penjadwal gain tidak cukup dilakukan dari satu kondisi operasi. Namun, karena evaluasi primer penelitian ini hanya terdiri atas dua keluarga dinamik independen, perbedaan tersebut tetap diperlakukan sebagai hasil deskriptif dan tidak digunakan untuk membuat klaim generalisasi yang lebih luas.</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Pengaruh Penjadwalan Gain terhadap Respons Dinamik</w:t>
      </w:r>
    </w:p>
    <w:p>
      <w:pPr>
        <w:pStyle w:val="FirstParagraph"/>
      </w:pPr>
      <w:r>
        <w:t>Seluruh dua belas simulasi mempertahankan frekuensi dalam rentang diagnostik 45–55 Hz. Kondisi tersebut menunjukkan bahwa ketiga konfigurasi dapat menyelesaikan skenario yang diuji tanpa keluar dari domain kestabilan diagnostik yang telah ditetapkan. Akan tetapi, pemenuhan kriteria tersebut tidak identik dengan peningkatan kualitas respons dinamik.</w:t>
      </w:r>
    </w:p>
    <w:p>
      <w:pPr>
        <w:pStyle w:val="FirstParagraph"/>
      </w:pPr>
      <w:r>
        <w:t xml:space="preserve">Pada kedua skenario primer, simpangan frekuensi absolut maksimum terjadi pada t = 2,60 s, sedangkan RoCoF absolut maksimum terjadi pada t = 2,50 s. Pembaruan gain adaptif pertama juga dijadwalkan pada t = 2,60 s. Oleh karena itu, simpangan puncak terjadi </w:t>
      </w:r>
      <w:r>
        <w:rPr>
          <w:b/>
        </w:rPr>
        <w:t>tidak lebih lambat daripada</w:t>
      </w:r>
      <w:r>
        <w:t xml:space="preserve"> pembaruan adaptif pertama, sedangkan RoCoF maksimum terbentuk sebelum pembaruan tersebut. Pernyataan ini lebih tepat daripada menganggap seluruh simpangan puncak terjadi sebelum pengendali adaptif mulai bekerja.</w:t>
      </w:r>
    </w:p>
    <w:p>
      <w:pPr>
        <w:pStyle w:val="FirstParagraph"/>
      </w:pPr>
      <w:r>
        <w:t>Pada masing-masing skenario primer, nilai simpangan puncak dan RoCoF maksimum identik untuk PI gain tetap, LSTM–PI, dan QLSTM–PI. Dengan cadence observasi 20 Hz dan pembaruan gain 10 Hz yang dibekukan, bukti tersebut menunjukkan bahwa perbedaan antarpengendali terutama muncul pada fase respons setelah ekstrem awal, yang kemudian tercermin pada RMSE selama horizon evaluasi. Temuan ini tidak digunakan untuk menyimpulkan bahwa penjadwalan gain secara umum tidak dapat memengaruhi puncak transien pada konfigurasi waktu pembaruan yang berbeda.</w:t>
      </w:r>
    </w:p>
    <w:p>
      <w:pPr>
        <w:pStyle w:val="FirstParagraph"/>
      </w:pPr>
      <w:r>
        <w:t xml:space="preserve">Perbedaan antarpengendali juga terlihat pada aktivitas </w:t>
      </w:r>
      <w:r>
        <w:rPr>
          <w:i/>
        </w:rPr>
        <w:t>dump load</w:t>
      </w:r>
      <w:r>
        <w:t xml:space="preserve">. Pada dua keluarga uji primer, rerata </w:t>
      </w:r>
      <w:r>
        <w:rPr>
          <w:i/>
        </w:rPr>
        <w:t>total variation duty</w:t>
      </w:r>
      <w:r>
        <w:t xml:space="preserve"> QLSTM–PI sekitar 6,40 kali PI gain tetap dan 5,57 kali LSTM–PI. Gain guard tercatat aktif secara material dan tidak terjadi </w:t>
      </w:r>
      <w:r>
        <w:rPr>
          <w:i/>
        </w:rPr>
        <w:t>fallback</w:t>
      </w:r>
      <w:r>
        <w:t xml:space="preserve"> model. Aktivitas kendali QLSTM–PI yang lebih besar tersebut tidak disertai RMSE yang lebih rendah pada kedua keluarga uji primer. Hubungan ini diperlakukan sebagai karakteristik implementasi yang diamati, bukan sebagai bukti bahwa variasi </w:t>
      </w:r>
      <w:r>
        <w:rPr>
          <w:i/>
        </w:rPr>
        <w:t>duty</w:t>
      </w:r>
      <w:r>
        <w:t xml:space="preserve"> yang tinggi secara tunggal menyebabkan penurunan kinerja frekuensi.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Beban Komputasi</w:t>
      </w:r>
    </w:p>
    <w:p>
      <w:pPr>
        <w:pStyle w:val="FirstParagraph"/>
      </w:pPr>
      <w:r>
        <w:t xml:space="preserve">Beban komputasi dievaluasi dari waktu eksekusi simulasi </w:t>
      </w:r>
      <w:r>
        <w:rPr>
          <w:i/>
        </w:rPr>
        <w:t>closed-loop</w:t>
      </w:r>
      <w:r>
        <w:t xml:space="preserve"> 10 s pada implementasi CPU yang digunakan. Rerata waktu satu simulasi adalah 0,675 s untuk PI gain tetap, 0,897 s untuk LSTM–PI, dan 32,570 s untuk QLSTM–PI. Dengan konfigurasi perangkat lunak dan perangkat keras yang sama pada pengujian ini, rerata waktu simulasi QLSTM–PI sekitar 36,33 kali waktu simulasi LSTM–PI.</w:t>
      </w:r>
    </w:p>
    <w:p>
      <w:pPr>
        <w:keepNext/>
        <w:jc w:val="center"/>
      </w:pPr>
      <w:r>
        <w:drawing>
          <wp:inline xmlns:a="http://schemas.openxmlformats.org/drawingml/2006/main" xmlns:pic="http://schemas.openxmlformats.org/drawingml/2006/picture">
            <wp:extent cx="5630519" cy="3719051"/>
            <wp:docPr id="2045596150" name="Picture 2045596150"/>
            <wp:cNvGraphicFramePr>
              <a:graphicFrameLocks noChangeAspect="1"/>
            </wp:cNvGraphicFramePr>
            <a:graphic>
              <a:graphicData uri="http://schemas.openxmlformats.org/drawingml/2006/picture">
                <pic:pic>
                  <pic:nvPicPr>
                    <pic:cNvPr id="0" name="fig157_computational_runtime_comparison.png"/>
                    <pic:cNvPicPr/>
                  </pic:nvPicPr>
                  <pic:blipFill>
                    <a:blip r:embed="rId32"/>
                    <a:stretch>
                      <a:fillRect/>
                    </a:stretch>
                  </pic:blipFill>
                  <pic:spPr>
                    <a:xfrm>
                      <a:off x="0" y="0"/>
                      <a:ext cx="5630519" cy="3719051"/>
                    </a:xfrm>
                    <a:prstGeom prst="rect"/>
                  </pic:spPr>
                </pic:pic>
              </a:graphicData>
            </a:graphic>
          </wp:inline>
        </w:drawing>
      </w:r>
    </w:p>
    <w:p>
      <w:pPr>
        <w:pStyle w:val="Caption"/>
        <w:spacing w:before="120" w:after="240"/>
        <w:jc w:val="center"/>
        <w:rPr>
          <w:rFonts w:ascii="Times New Roman" w:hAnsi="Times New Roman" w:cs="Times New Roman"/>
          <w:i w:val="0"/>
          <w:iCs w:val="0"/>
          <w:sz w:val="24"/>
          <w:szCs w:val="24"/>
          <w:lang w:val="nb-NO"/>
        </w:rPr>
      </w:pPr>
      <w:r>
        <w:rPr>
          <w:b/>
        </w:rPr>
        <w:t>Gambar 4.8.</w:t>
      </w:r>
      <w:r>
        <w:t xml:space="preserve"> Perbandingan rerata waktu komputasi simulasi </w:t>
      </w:r>
      <w:r>
        <w:rPr>
          <w:i/>
        </w:rPr>
        <w:t>closed-loop</w:t>
      </w:r>
      <w:r>
        <w:t xml:space="preserve"> pada implementasi CPU yang digunakan.</w:t>
      </w:r>
    </w:p>
    <w:p>
      <w:pPr>
        <w:pStyle w:val="FirstParagraph"/>
      </w:pPr>
      <w:r>
        <w:t xml:space="preserve">Estimasi </w:t>
      </w:r>
      <w:r>
        <w:rPr>
          <w:i/>
        </w:rPr>
        <w:t>paired overhead</w:t>
      </w:r>
      <w:r>
        <w:t xml:space="preserve"> terhadap PI gain tetap adalah sekitar 0,0030 s per pembaruan gain untuk LSTM–PI dan 0,4310 s per pembaruan untuk QLSTM–PI. Periode pembaruan gain yang dibekukan adalah 0,10 s. Berdasarkan pengukuran implementasi tersebut, overhead LSTM–PI masih berada di bawah anggaran waktu nominal pembaruan 10 Hz, sedangkan implementasi QLSTM–PI yang digunakan belum menunjukkan kemampuan memenuhi anggaran yang sama.</w:t>
      </w:r>
    </w:p>
    <w:p>
      <w:pPr>
        <w:pStyle w:val="FirstParagraph"/>
      </w:pPr>
      <w:r>
        <w:t xml:space="preserve">Nilai </w:t>
      </w:r>
      <w:r>
        <w:rPr>
          <w:i/>
        </w:rPr>
        <w:t>paired overhead</w:t>
      </w:r>
      <w:r>
        <w:t xml:space="preserve"> tersebut </w:t>
      </w:r>
      <w:r>
        <w:rPr>
          <w:b/>
        </w:rPr>
        <w:t>bukan pengukuran latensi inferensi model secara terisolasi</w:t>
      </w:r>
      <w:r>
        <w:t xml:space="preserve">. Pengukuran mencakup overhead implementasi yang muncul selama simulasi </w:t>
      </w:r>
      <w:r>
        <w:rPr>
          <w:i/>
        </w:rPr>
        <w:t>closed-loop</w:t>
      </w:r>
      <w:r>
        <w:t xml:space="preserve">, termasuk komponen simulasi PennyLane pada CPU. Oleh karena itu, rasio waktu komputasi yang diperoleh tidak digunakan untuk menyatakan latensi intrinsik komputasi kuantum, keunggulan atau kelemahan perangkat keras kuantum, maupun </w:t>
      </w:r>
      <w:r>
        <w:rPr>
          <w:i/>
        </w:rPr>
        <w:t>quantum speedup</w:t>
      </w:r>
      <w:r>
        <w:t xml:space="preserve">. Hasil ini hanya menunjukkan beban komputasi dari implementasi </w:t>
      </w:r>
      <w:r>
        <w:rPr>
          <w:i/>
        </w:rPr>
        <w:t>hybrid quantum–classical</w:t>
      </w:r>
      <w:r>
        <w:t xml:space="preserve"> yang digunakan dalam lingkungan simulasi penelitian ini.</w:t>
      </w:r>
    </w:p>
    <w:p>
      <w:pPr>
        <w:pStyle w:val="FirstParagraph"/>
      </w:pPr>
      <w:r>
        <w:t>Dari sudut pandang implementasi pengendali, hasil tersebut tetap relevan karena scheduler harus menghasilkan gain dalam periode pembaruan yang tersedia. Dengan demikian, selain kualitas pengendalian frekuensi, kebutuhan komputasi menjadi salah satu keterbatasan praktis QLSTM–PI pada konfigurasi simulasi yang diuji.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Sintesis Hasil dan Posisi QLSTM</w:t>
      </w:r>
    </w:p>
    <w:p>
      <w:pPr>
        <w:pStyle w:val="FirstParagraph"/>
      </w:pPr>
      <w:r>
        <w:t xml:space="preserve">Hasil penelitian menunjukkan bahwa kinerja model dalam mengestimasi gain dan kinerja sistem setelah gain tersebut diterapkan pada </w:t>
      </w:r>
      <w:r>
        <w:rPr>
          <w:i/>
        </w:rPr>
        <w:t>closed-loop</w:t>
      </w:r>
      <w:r>
        <w:t xml:space="preserve"> perlu dibedakan secara eksplisit. Pada data uji model, MSE target terstandardisasi QLSTM sebesar 2,963549 atau sekitar 241,18% lebih tinggi daripada LSTM yang menghasilkan MSE 0,868629. Pada evaluasi </w:t>
      </w:r>
      <w:r>
        <w:rPr>
          <w:i/>
        </w:rPr>
        <w:t>closed-loop</w:t>
      </w:r>
      <w:r>
        <w:t xml:space="preserve"> primer, rerata RMSE QLSTM–PI sebesar 0,016150 Hz atau 16,95% lebih tinggi daripada LSTM–PI yang menghasilkan 0,013810 Hz. Perbedaan besarnya kedua persentase tersebut menunjukkan bahwa galat estimasi gain dan perubahan kinerja pengendalian frekuensi tidak membentuk hubungan proporsional langsung.</w:t>
      </w:r>
    </w:p>
    <w:p>
      <w:pPr>
        <w:pStyle w:val="FirstParagraph"/>
      </w:pPr>
      <w:r>
        <w:t xml:space="preserve">Hubungan antara keluaran model dan respons pengendalian dipengaruhi oleh penerapan </w:t>
      </w:r>
      <w:r>
        <w:rPr>
          <w:i/>
        </w:rPr>
        <w:t>inverse scaling</w:t>
      </w:r>
      <w:r>
        <w:t xml:space="preserve">, pembatasan gain, pembatasan laju perubahan gain, dinamika plant, kondisi operasi, serta sensitivitas sistem terhadap pasangan Kp dan Ki yang diaplikasikan. Oleh karena itu, peningkatan galat regresi gain tidak ditafsirkan sebagai peningkatan galat frekuensi dengan faktor yang sama. Sebaliknya, kualitas model juga tidak dinilai hanya dari MSE regresi tanpa memeriksa konsekuensinya setelah diintegrasikan ke sistem </w:t>
      </w:r>
      <w:r>
        <w:rPr>
          <w:i/>
        </w:rPr>
        <w:t>closed-loop</w:t>
      </w:r>
      <w:r>
        <w:t>.</w:t>
      </w:r>
    </w:p>
    <w:p>
      <w:pPr>
        <w:pStyle w:val="FirstParagraph"/>
      </w:pPr>
      <w:r>
        <w:t xml:space="preserve">Pada empat skenario deterministik yang telah ditetapkan sebelum eksperimen, LSTM–PI menghasilkan RMSE lebih rendah daripada QLSTM–PI pada empat dari empat skenario. Temuan tersebut tetap memerlukan pembatasan ruang lingkup karena hanya CL01 dan CL02 yang merupakan keluarga dinamik uji independen untuk klaim primer. CL03 merupakan </w:t>
      </w:r>
      <w:r>
        <w:rPr>
          <w:i/>
        </w:rPr>
        <w:t>boundary stress</w:t>
      </w:r>
      <w:r>
        <w:t>, sedangkan CL04 merupakan diagnostik G3 dalam distribusi pelatihan. Dengan demikian, hasil empat skenario tidak diperlakukan sebagai empat replikasi independen untuk inferensi statistik.</w:t>
      </w:r>
    </w:p>
    <w:p>
      <w:pPr>
        <w:pStyle w:val="FirstParagraph"/>
      </w:pPr>
      <w:r>
        <w:t xml:space="preserve">Pada CL03, RMSE PI gain tetap, LSTM–PI, dan QLSTM–PI masing-masing sebesar 0,059777 Hz, 0,059768 Hz, dan 0,060131 Hz. Perbedaan tersebut sangat kecil dan hanya digunakan untuk menggambarkan perilaku pengendali pada kondisi </w:t>
      </w:r>
      <w:r>
        <w:rPr>
          <w:i/>
        </w:rPr>
        <w:t>boundary stress</w:t>
      </w:r>
      <w:r>
        <w:t>. Hasil CL03 tidak digunakan untuk memperluas klaim kinerja primer.</w:t>
      </w:r>
    </w:p>
    <w:p>
      <w:pPr>
        <w:pStyle w:val="FirstParagraph"/>
      </w:pPr>
      <w:r>
        <w:t xml:space="preserve">Pada CL04, PI gain tetap menghasilkan RMSE 0,016638 Hz, LSTM–PI 0,015532 Hz, dan QLSTM–PI 0,015833 Hz. Dibandingkan PI gain tetap, RMSE LSTM–PI menurun sekitar 6,65% dan RMSE QLSTM–PI menurun sekitar 4,84%. Walaupun kedua penjadwal adaptif memberikan RMSE yang lebih rendah pada kasus tersebut, CL04 berasal dari keluarga G3 yang berada dalam distribusi pelatihan. Hasil tersebut karena itu hanya berfungsi sebagai diagnostik dan </w:t>
      </w:r>
      <w:r>
        <w:rPr>
          <w:b/>
        </w:rPr>
        <w:t>tidak menjadi bukti generalisasi independen terhadap G3</w:t>
      </w:r>
      <w:r>
        <w:t>.</w:t>
      </w:r>
    </w:p>
    <w:p>
      <w:pPr>
        <w:pStyle w:val="FirstParagraph"/>
      </w:pPr>
      <w:r>
        <w:t xml:space="preserve">Posisi QLSTM dalam penelitian ini dengan demikian bukan sebagai metode yang terbukti lebih unggul daripada LSTM atau PI gain tetap. QLSTM menunjukkan bahwa arsitektur </w:t>
      </w:r>
      <w:r>
        <w:rPr>
          <w:i/>
        </w:rPr>
        <w:t>hybrid quantum–classical</w:t>
      </w:r>
      <w:r>
        <w:t xml:space="preserve"> dapat diintegrasikan sebagai penjadwal gain PI, menghasilkan gain yang tetap berada dalam kebijakan keselamatan yang dibekukan, dan menyelesaikan seluruh skenario deterministik dalam rentang kestabilan diagnostik 45–55 Hz. Namun, pada konfigurasi yang diuji, QLSTM belum menghasilkan akurasi estimasi gain maupun RMSE </w:t>
      </w:r>
      <w:r>
        <w:rPr>
          <w:i/>
        </w:rPr>
        <w:t>closed-loop</w:t>
      </w:r>
      <w:r>
        <w:t xml:space="preserve"> primer yang lebih baik daripada LSTM. QLSTM juga disertai aktivitas </w:t>
      </w:r>
      <w:r>
        <w:rPr>
          <w:i/>
        </w:rPr>
        <w:t>dump-duty</w:t>
      </w:r>
      <w:r>
        <w:t xml:space="preserve"> dan beban komputasi yang lebih besar pada implementasi simulasi yang digunakan.</w:t>
      </w:r>
    </w:p>
    <w:p>
      <w:pPr>
        <w:pStyle w:val="FirstParagraph"/>
      </w:pPr>
      <w:r>
        <w:t>Hasil negatif tersebut dipertahankan sebagai bagian dari temuan penelitian. Evaluasi ini menunjukkan kondisi dan batas implementasi QLSTM sebagai penjadwal gain PI pada ELC PLTMH tanpa mengubah model, skenario, scheduler, ataupun simulator setelah hasil pengujian diketahui.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Keterbatasan Hasil</w:t>
      </w:r>
    </w:p>
    <w:p>
      <w:pPr>
        <w:pStyle w:val="FirstParagraph"/>
      </w:pPr>
      <w:r>
        <w:t>Interpretasi hasil dibatasi oleh rancangan penelitian dan ruang model yang digunakan. Keterbatasan pertama berkaitan dengan jumlah unit evaluasi independen. Evaluasi primer hanya memiliki dua keluarga dinamik uji independen, yaitu D40_L-20 dan D20_L+10. Jumlah tersebut belum memadai untuk mendukung uji signifikansi statistik pada tingkat keluarga. Oleh sebab itu, perbandingan rerata RMSE pada penelitian ini diperlakukan sebagai hasil deskriptif.</w:t>
      </w:r>
    </w:p>
    <w:p>
      <w:pPr>
        <w:pStyle w:val="FirstParagraph"/>
      </w:pPr>
      <w:r>
        <w:t xml:space="preserve">Keterbatasan kedua berkaitan dengan struktur data temporal. Ribuan titik waktu RK4 maupun </w:t>
      </w:r>
      <w:r>
        <w:rPr>
          <w:i/>
        </w:rPr>
        <w:t>window</w:t>
      </w:r>
      <w:r>
        <w:t xml:space="preserve"> temporal dari satu keluarga dinamik berasal dari realisasi sistem yang sama dan tidak diperlakukan sebagai observasi independen. Konsekuensinya, jumlah titik waktu tersebut tidak digunakan untuk memperbesar ukuran sampel statistik, menghitung nilai p, atau membuat klaim signifikansi yang tidak didukung oleh jumlah keluarga independen.</w:t>
      </w:r>
    </w:p>
    <w:p>
      <w:pPr>
        <w:pStyle w:val="FirstParagraph"/>
      </w:pPr>
      <w:r>
        <w:t xml:space="preserve">Keterbatasan ketiga berasal dari ruang model plant. Simulasi menggunakan ELC </w:t>
      </w:r>
      <w:r>
        <w:rPr>
          <w:i/>
        </w:rPr>
        <w:t>averaged</w:t>
      </w:r>
      <w:r>
        <w:t xml:space="preserve">, daya mekanik konstan, serta model generator sinkron yang telah ditetapkan, tanpa mengaktifkan dinamika governor dan </w:t>
      </w:r>
      <w:r>
        <w:rPr>
          <w:i/>
        </w:rPr>
        <w:t>waterway</w:t>
      </w:r>
      <w:r>
        <w:t>. Dengan demikian, hasil penelitian berlaku pada konfigurasi model tersebut dan belum secara langsung menunjukkan kinerja pada plant fisik dengan seluruh dinamika hidraulik, aktuator, pengukuran, dan ketidakpastian lapangan.</w:t>
      </w:r>
    </w:p>
    <w:p>
      <w:pPr>
        <w:pStyle w:val="FirstParagraph"/>
      </w:pPr>
      <w:r>
        <w:t>Keterbatasan keempat berkaitan dengan kebijakan temporal pengendali. Observasi model dilakukan pada 20 Hz dan pembaruan gain pada 10 Hz, dengan pembaruan adaptif pertama pada t = 2,60 s setelah gangguan diterapkan pada t = 2,50 s. RoCoF maksimum pada dua skenario primer terjadi pada t = 2,50 s, sedangkan simpangan frekuensi absolut maksimum terjadi pada t = 2,60 s. Karena simpangan puncak terjadi tidak lebih lambat daripada pembaruan adaptif pertama dan nilainya identik untuk ketiga konfigurasi, eksperimen ini tidak menunjukkan adanya pengurangan ekstrem awal oleh penjadwal adaptif pada kebijakan waktu yang dibekukan. Temuan tersebut tidak digunakan untuk menyimpulkan perilaku pada cadence observasi atau pembaruan gain yang berbeda.</w:t>
      </w:r>
    </w:p>
    <w:p>
      <w:pPr>
        <w:pStyle w:val="FirstParagraph"/>
      </w:pPr>
      <w:r>
        <w:t>Keterbatasan kelima berkaitan dengan cakupan regime target. Regime G3 tidak tersedia sebagai keluarga uji independen pada pembagian data akhir. CL04 yang menggunakan G3 berasal dari keluarga pelatihan dan hanya digunakan sebagai diagnostik dalam distribusi. Oleh karena itu, penelitian ini tidak membuat klaim generalisasi independen terhadap G3.</w:t>
      </w:r>
    </w:p>
    <w:p>
      <w:pPr>
        <w:pStyle w:val="FirstParagraph"/>
      </w:pPr>
      <w:r>
        <w:t xml:space="preserve">Keterbatasan keenam berkaitan dengan beban komputasi. Pengukuran pada implementasi CPU/PennyLane menunjukkan bahwa QLSTM–PI belum memenuhi anggaran waktu nominal pembaruan gain 10 Hz pada konfigurasi perangkat lunak yang diuji. Pengukuran tersebut mencakup overhead simulasi dan bukan latensi inferensi perangkat keras kuantum secara terisolasi. Karena itu, hasil ini tidak dapat digunakan sebagai dasar untuk menyatakan </w:t>
      </w:r>
      <w:r>
        <w:rPr>
          <w:i/>
        </w:rPr>
        <w:t>quantum speedup</w:t>
      </w:r>
      <w:r>
        <w:t xml:space="preserve"> ataupun membandingkan efisiensi intrinsik perangkat keras klasik dan kuantum.</w:t>
      </w:r>
    </w:p>
    <w:p>
      <w:pPr>
        <w:pStyle w:val="FirstParagraph"/>
      </w:pPr>
      <w:r>
        <w:t xml:space="preserve">Keterbatasan-keterbatasan tersebut menentukan ruang berlakunya kesimpulan. Perluasan hasil di luar ruang tersebut memerlukan evaluasi tambahan yang dirancang terlebih dahulu, bukan perubahan </w:t>
      </w:r>
      <w:r>
        <w:rPr>
          <w:i/>
        </w:rPr>
        <w:t>post hoc</w:t>
      </w:r>
      <w:r>
        <w:t xml:space="preserve"> terhadap model atau protokol yang telah menghasilkan hasil primer penelitian ini.</w:t>
      </w:r>
    </w:p>
    <w:p>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r>
        <w:rPr>
          <w:rFonts w:ascii="Times New Roman" w:hAnsi="Times New Roman" w:cs="Times New Roman"/>
          <w:b/>
          <w:bCs/>
          <w:i w:val="0"/>
          <w:iCs w:val="0"/>
          <w:color w:val="000000" w:themeColor="text1"/>
          <w:sz w:val="24"/>
          <w:szCs w:val="24"/>
        </w:rPr>
        <w:t>Ringkasan Bab</w:t>
      </w:r>
    </w:p>
    <w:p>
      <w:pPr>
        <w:pStyle w:val="FirstParagraph"/>
      </w:pPr>
      <w:r>
        <w:t xml:space="preserve">Bab ini mengevaluasi LSTM–PI dan QLSTM–PI sebagai penjadwal gain pada ELC PLTMH dengan PI gain tetap sebagai pembanding. Pada tahap estimasi gain, LSTM menghasilkan galat lebih rendah daripada QLSTM pada data uji yang dibekukan. Setelah diintegrasikan ke </w:t>
      </w:r>
      <w:r>
        <w:rPr>
          <w:i/>
        </w:rPr>
        <w:t>closed-loop</w:t>
      </w:r>
      <w:r>
        <w:t>, seluruh dua belas run deterministik tetap berada dalam rentang kestabilan diagnostik 45–55 Hz, tetapi peningkatan kinerja akibat penjadwalan gain tidak konsisten antar-kondisi operasi.</w:t>
      </w:r>
    </w:p>
    <w:p>
      <w:pPr>
        <w:pStyle w:val="FirstParagraph"/>
      </w:pPr>
      <w:r>
        <w:t>Pada dua keluarga dinamik uji independen, PI gain tetap menghasilkan rerata RMSE terendah sebesar 0,012478 Hz. LSTM–PI menghasilkan 0,013810 Hz dan QLSTM–PI 0,016150 Hz. LSTM–PI menghasilkan RMSE lebih rendah daripada PI gain tetap pada CL02 tetapi lebih tinggi pada CL01, sedangkan QLSTM–PI tidak menghasilkan RMSE terendah pada salah satu dari kedua skenario primer. Perbandingan tersebut bersifat deskriptif karena unit evaluasi independen primer hanya terdiri atas dua keluarga dinamik.</w:t>
      </w:r>
    </w:p>
    <w:p>
      <w:pPr>
        <w:pStyle w:val="FirstParagraph"/>
      </w:pPr>
      <w:r>
        <w:t xml:space="preserve">Hasil model dan hasil </w:t>
      </w:r>
      <w:r>
        <w:rPr>
          <w:i/>
        </w:rPr>
        <w:t>closed-loop</w:t>
      </w:r>
      <w:r>
        <w:t xml:space="preserve"> juga menunjukkan bahwa galat estimasi gain tidak mempunyai hubungan proporsional langsung dengan degradasi respons frekuensi. Selain itu, implementasi QLSTM–PI menghasilkan variasi </w:t>
      </w:r>
      <w:r>
        <w:rPr>
          <w:i/>
        </w:rPr>
        <w:t>dump-duty</w:t>
      </w:r>
      <w:r>
        <w:t xml:space="preserve"> yang lebih besar dan membutuhkan waktu komputasi yang jauh lebih tinggi daripada LSTM–PI pada lingkungan simulasi CPU/PennyLane yang digunakan. Hasil beban komputasi tersebut merupakan karakteristik implementasi penelitian dan bukan bukti mengenai keunggulan atau kelemahan intrinsik perangkat keras kuantum.</w:t>
      </w:r>
    </w:p>
    <w:p>
      <w:pPr>
        <w:pStyle w:val="FirstParagraph"/>
      </w:pPr>
      <w:r>
        <w:t xml:space="preserve">Bukti primer penelitian ini tidak mendukung superioritas QLSTM–PI terhadap PI gain tetap maupun LSTM–PI. Hasil CL03 tetap diposisikan sebagai </w:t>
      </w:r>
      <w:r>
        <w:rPr>
          <w:i/>
        </w:rPr>
        <w:t>boundary stress</w:t>
      </w:r>
      <w:r>
        <w:t xml:space="preserve">, sedangkan hasil CL04 hanya merupakan diagnostik G3 dalam distribusi pelatihan dan tidak digunakan sebagai bukti generalisasi G3 independen. Tidak ada klaim signifikansi statistik maupun </w:t>
      </w:r>
      <w:r>
        <w:rPr>
          <w:i/>
        </w:rPr>
        <w:t>quantum advantage</w:t>
      </w:r>
      <w:r>
        <w:t xml:space="preserve"> yang dibuat dari hasil tersebut.</w:t>
      </w:r>
    </w:p>
    <w:p>
      <w:pPr>
        <w:pStyle w:val="FirstParagraph"/>
      </w:pPr>
      <w:r>
        <w:t xml:space="preserve">Dengan demikian, kontribusi hasil penelitian terletak pada evaluasi terkontrol terhadap penggunaan QLSTM sebagai penjadwal gain PI pada ELC PLTMH, termasuk identifikasi keterbatasan akurasi, kinerja </w:t>
      </w:r>
      <w:r>
        <w:rPr>
          <w:i/>
        </w:rPr>
        <w:t>closed-loop</w:t>
      </w:r>
      <w:r>
        <w:t>, aktivitas kendali, dan beban komputasi pada konfigurasi yang diuji. Hasil negatif QLSTM dipertahankan sebagai temuan ilmiah dan menjadi dasar yang objektif untuk perumusan kesimpulan serta rekomendasi penelitian selanjutnya pada Bab V.</w:t>
      </w: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