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3. 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pageBreakBefore/>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pPr>
        <w:pStyle w:val="FirstParagraph"/>
      </w:pPr>
      <w:r>
        <w:t xml:space="preserve">Pada implementasi final, QLSTM menerima urutan temporal dengan empat fitur pada</w:t>
      </w:r>
      <w:r>
        <w:t xml:space="preserve"> </w:t>
      </w:r>
      <w:r>
        <w:t xml:space="preserve">setiap titik observasi,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Urutan terdiri atas 11 titik observasi dengan frekuensi observasi 20 Hz sehingga</w:t>
      </w:r>
      <w:r>
        <w:t xml:space="preserve"> </w:t>
      </w:r>
      <w:r>
        <w:t xml:space="preserve">mencakup rentang waktu 0,5 s. Empat fitur tersebut adalah deviasi frekuensi,</w:t>
      </w:r>
      <w:r>
        <w:t xml:space="preserve"> </w:t>
      </w:r>
      <w:r>
        <w:t xml:space="preserve">daya mekanik, daya elektrik, dan daya beban buangan. Vektor masukan yang sama</w:t>
      </w:r>
      <w:r>
        <w:t xml:space="preserve"> </w:t>
      </w:r>
      <w:r>
        <w:t xml:space="preserve">digunakan pada LSTM dan QLSTM agar perbandingan kedua model tidak dipengaruhi</w:t>
      </w:r>
      <w:r>
        <w:t xml:space="preserve"> </w:t>
      </w:r>
      <w:r>
        <w:t xml:space="preserve">oleh perbedaan informasi masukan.</w:t>
      </w:r>
    </w:p>
    <w:p>
      <w:pPr>
        <w:pStyle w:val="BodyText"/>
      </w:pPr>
      <w:r>
        <w:t xml:space="preserve">Arsitektur QLSTM final menggunakan empat</w:t>
      </w:r>
      <w:r>
        <w:t xml:space="preserve"> </w:t>
      </w:r>
      <w:r>
        <w:rPr>
          <w:iCs/>
          <w:i/>
        </w:rPr>
        <w:t xml:space="preserve">qubit</w:t>
      </w:r>
      <w:r>
        <w:t xml:space="preserve">, kedalaman VQC satu lapisan,</w:t>
      </w:r>
      <w:r>
        <w:t xml:space="preserve"> </w:t>
      </w:r>
      <w:r>
        <w:t xml:space="preserve">dan keadaan tersembunyi berdimensi empat. Keadaan tersembunyi terakhir</w:t>
      </w:r>
      <w:r>
        <w:t xml:space="preserve"> </w:t>
      </w:r>
      <w:r>
        <w:t xml:space="preserve">diteruskan ke kepala regresi klasik dengan 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Kepala regresi menghasilkan dua keluaran pada ruang target yang telah</w:t>
      </w:r>
      <w:r>
        <w:t xml:space="preserve"> </w:t>
      </w:r>
      <w:r>
        <w:t xml:space="preserve">distandardisasi. Dengan</w:t>
      </w:r>
      <w:r>
        <w:t xml:space="preserve"> </w:t>
      </w:r>
      <m:oMath>
        <m:sSub>
          <m:e>
            <m:r>
              <m:rPr>
                <m:sty m:val="b"/>
              </m:rPr>
              <m:t>h</m:t>
            </m:r>
          </m:e>
          <m:sub>
            <m:r>
              <m:t>T</m:t>
            </m:r>
          </m:sub>
        </m:sSub>
      </m:oMath>
      <w:r>
        <w:t xml:space="preserve"> </w:t>
      </w:r>
      <w:r>
        <w:t xml:space="preserve">sebagai keadaan tersembunyi terakhir,</w:t>
      </w:r>
      <w:r>
        <w:t xml:space="preserve"> </w:t>
      </w:r>
      <w:r>
        <w:t xml:space="preserve">keluaran regresi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z</m:t>
                    </m:r>
                  </m:e>
                </m:acc>
                <m:r>
                  <m:rPr>
                    <m:sty m:val="p"/>
                  </m:rPr>
                  <m:t>=</m:t>
                </m:r>
                <m:sSub>
                  <m:e>
                    <m:r>
                      <m:t>g</m:t>
                    </m:r>
                  </m:e>
                  <m:sub>
                    <m:r>
                      <m:rPr>
                        <m:sty m:val="b"/>
                      </m:rPr>
                      <m:t>ϕ</m:t>
                    </m:r>
                  </m:sub>
                </m:sSub>
                <m:d>
                  <m:dPr>
                    <m:begChr m:val="("/>
                    <m:endChr m:val=")"/>
                    <m:sepChr m:val=""/>
                    <m:grow/>
                  </m:dPr>
                  <m:e>
                    <m:sSub>
                      <m:e>
                        <m:r>
                          <m:rPr>
                            <m:sty m:val="b"/>
                          </m:rPr>
                          <m:t>h</m:t>
                        </m:r>
                      </m:e>
                      <m:sub>
                        <m:r>
                          <m:t>T</m:t>
                        </m:r>
                      </m:sub>
                    </m:sSub>
                  </m:e>
                </m:d>
                <m:r>
                  <m:rPr>
                    <m:sty m:val="p"/>
                  </m:rPr>
                  <m:t>=</m:t>
                </m:r>
                <m:d>
                  <m:dPr>
                    <m:begChr m:val="["/>
                    <m:endChr m:val="]"/>
                    <m:sepChr m:val=""/>
                    <m:grow/>
                  </m:dPr>
                  <m:e>
                    <m:m>
                      <m:mPr>
                        <m:baseJc m:val="center"/>
                        <m:plcHide m:val="on"/>
                        <m:mcs>
                          <m:mc>
                            <m:mcPr>
                              <m:mcJc m:val="center"/>
                              <m:count m:val="1"/>
                            </m:mcPr>
                          </m:mc>
                        </m:mcs>
                      </m:mPr>
                      <m:mr>
                        <m:e>
                          <m:sSub>
                            <m:e>
                              <m:acc>
                                <m:accPr>
                                  <m:chr m:val="̂"/>
                                </m:accPr>
                                <m:e>
                                  <m:r>
                                    <m:t>z</m:t>
                                  </m:r>
                                </m:e>
                              </m:acc>
                            </m:e>
                            <m:sub>
                              <m:sSub>
                                <m:e>
                                  <m:r>
                                    <m:t>K</m:t>
                                  </m:r>
                                </m:e>
                                <m:sub>
                                  <m:r>
                                    <m:t>p</m:t>
                                  </m:r>
                                </m:sub>
                              </m:sSub>
                            </m:sub>
                          </m:sSub>
                        </m:e>
                      </m:mr>
                      <m:mr>
                        <m:e>
                          <m:sSub>
                            <m:e>
                              <m:acc>
                                <m:accPr>
                                  <m:chr m:val="̂"/>
                                </m:accPr>
                                <m:e>
                                  <m:r>
                                    <m:t>z</m:t>
                                  </m:r>
                                </m:e>
                              </m:acc>
                            </m:e>
                            <m:sub>
                              <m:sSub>
                                <m:e>
                                  <m:r>
                                    <m:t>K</m:t>
                                  </m:r>
                                </m:e>
                                <m:sub>
                                  <m:r>
                                    <m:t>i</m:t>
                                  </m:r>
                                </m:sub>
                              </m:sSub>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(2.19)</w:t>
            </w:r>
          </w:p>
        </w:tc>
      </w:tr>
    </w:tbl>
    <w:p>
      <w:pPr>
        <w:pStyle w:val="BodyText"/>
      </w:pPr>
      <w:r>
        <w:t xml:space="preserve">dengan</w:t>
      </w:r>
      <w:r>
        <w:t xml:space="preserve"> </w:t>
      </w:r>
      <m:oMath>
        <m:sSub>
          <m:e>
            <m:r>
              <m:t>g</m:t>
            </m:r>
          </m:e>
          <m:sub>
            <m:r>
              <m:rPr>
                <m:sty m:val="b"/>
              </m:rPr>
              <m:t>ϕ</m:t>
            </m:r>
          </m:sub>
        </m:sSub>
        <m:d>
          <m:dPr>
            <m:begChr m:val="("/>
            <m:endChr m:val=")"/>
            <m:sepChr m:val=""/>
            <m:grow/>
          </m:dPr>
          <m:e>
            <m:r>
              <m:rPr>
                <m:sty m:val="p"/>
              </m:rPr>
              <m:t>⋅</m:t>
            </m:r>
          </m:e>
        </m:d>
      </m:oMath>
      <w:r>
        <w:t xml:space="preserve"> </w:t>
      </w:r>
      <w:r>
        <w:t xml:space="preserve">merupakan kepala regresi klasik.</w:t>
      </w:r>
      <w:r>
        <w:t xml:space="preserve"> </w:t>
      </w:r>
      <w:r>
        <w:t xml:space="preserve">Tidak digunakan fungsi sigmoid pada kepala keluaran untuk membatasi</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distandardisasi menggunakan statistik data latih.</w:t>
      </w:r>
      <w:r>
        <w:t xml:space="preserve"> </w:t>
      </w:r>
      <w:r>
        <w:t xml:space="preserve">Keluaran pada Persamaan (2.19) dikembalikan ke skala fisik melalui transformasi</w:t>
      </w:r>
      <w:r>
        <w:t xml:space="preserve"> </w:t>
      </w:r>
      <w:r>
        <w:t xml:space="preserve">balik</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θ</m:t>
                    </m:r>
                  </m:e>
                </m:acc>
                <m:r>
                  <m:rPr>
                    <m:sty m:val="p"/>
                  </m:rPr>
                  <m:t>=</m:t>
                </m:r>
                <m:sSub>
                  <m:e>
                    <m:r>
                      <m:rPr>
                        <m:sty m:val="b"/>
                      </m:rPr>
                      <m:t>μ</m:t>
                    </m:r>
                  </m:e>
                  <m:sub>
                    <m:r>
                      <m:t>y</m:t>
                    </m:r>
                  </m:sub>
                </m:sSub>
                <m:r>
                  <m:rPr>
                    <m:sty m:val="p"/>
                  </m:rPr>
                  <m:t>+</m:t>
                </m:r>
                <m:sSub>
                  <m:e>
                    <m:r>
                      <m:rPr>
                        <m:sty m:val="b"/>
                      </m:rPr>
                      <m:t>σ</m:t>
                    </m:r>
                  </m:e>
                  <m:sub>
                    <m:r>
                      <m:t>y</m:t>
                    </m:r>
                  </m:sub>
                </m:sSub>
                <m:r>
                  <m:rPr>
                    <m:sty m:val="p"/>
                  </m:rPr>
                  <m:t>⊙</m:t>
                </m:r>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sSub>
                            <m:e>
                              <m:acc>
                                <m:accPr>
                                  <m:chr m:val="̂"/>
                                </m:accPr>
                                <m:e>
                                  <m:r>
                                    <m:t>K</m:t>
                                  </m:r>
                                </m:e>
                              </m:acc>
                            </m:e>
                            <m:sub>
                              <m:r>
                                <m:t>p</m:t>
                              </m:r>
                            </m:sub>
                          </m:sSub>
                        </m:e>
                      </m:mr>
                      <m:mr>
                        <m:e>
                          <m:sSub>
                            <m:e>
                              <m:acc>
                                <m:accPr>
                                  <m:chr m:val="̂"/>
                                </m:accPr>
                                <m:e>
                                  <m:r>
                                    <m:t>K</m:t>
                                  </m:r>
                                </m:e>
                              </m:acc>
                            </m:e>
                            <m:sub>
                              <m:r>
                                <m:t>i</m:t>
                              </m:r>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(2.20)</w:t>
            </w:r>
          </w:p>
        </w:tc>
      </w:tr>
    </w:tbl>
    <w:p>
      <w:pPr>
        <w:pStyle w:val="BodyText"/>
      </w:pPr>
      <w:r>
        <w:t xml:space="preserve">dengan</w:t>
      </w:r>
      <w:r>
        <w:t xml:space="preserve"> </w:t>
      </w:r>
      <m:oMath>
        <m:sSub>
          <m:e>
            <m:r>
              <m:rPr>
                <m:sty m:val="b"/>
              </m:rPr>
              <m:t>μ</m:t>
            </m:r>
          </m:e>
          <m:sub>
            <m:r>
              <m:t>y</m:t>
            </m:r>
          </m:sub>
        </m:sSub>
      </m:oMath>
      <w:r>
        <w:t xml:space="preserve"> </w:t>
      </w:r>
      <w:r>
        <w:t xml:space="preserve">dan</w:t>
      </w:r>
      <w:r>
        <w:t xml:space="preserve"> </w:t>
      </w:r>
      <m:oMath>
        <m:sSub>
          <m:e>
            <m:r>
              <m:rPr>
                <m:sty m:val="b"/>
              </m:rPr>
              <m:t>σ</m:t>
            </m:r>
          </m:e>
          <m:sub>
            <m:r>
              <m:t>y</m:t>
            </m:r>
          </m:sub>
        </m:sSub>
      </m:oMath>
      <w:r>
        <w:t xml:space="preserve"> </w:t>
      </w:r>
      <w:r>
        <w:t xml:space="preserve">masing-masing</w:t>
      </w:r>
      <w:r>
        <w:t xml:space="preserve"> </w:t>
      </w:r>
      <w:r>
        <w:t xml:space="preserve">merupakan vektor rerata dan simpangan baku target yang dihitung hanya dari data</w:t>
      </w:r>
      <w:r>
        <w:t xml:space="preserve"> </w:t>
      </w:r>
      <w:r>
        <w:t xml:space="preserve">latih, sedangkan</w:t>
      </w:r>
      <w:r>
        <w:t xml:space="preserve"> </w:t>
      </w:r>
      <m:oMath>
        <m:r>
          <m:rPr>
            <m:sty m:val="p"/>
          </m:rPr>
          <m:t>⊙</m:t>
        </m:r>
      </m:oMath>
      <w:r>
        <w:t xml:space="preserve"> </w:t>
      </w:r>
      <w:r>
        <w:t xml:space="preserve">menyatakan perkalian elemen per elemen. Persamaan</w:t>
      </w:r>
      <w:r>
        <w:t xml:space="preserve"> </w:t>
      </w:r>
      <w:r>
        <w:t xml:space="preserve">(2.20) menghasilkan estimasi gain dalam satuan fisik, tetapi belum merupakan</w:t>
      </w:r>
      <w:r>
        <w:t xml:space="preserve"> </w:t>
      </w:r>
      <w:r>
        <w:t xml:space="preserve">gain yang langsung diterapkan pada pengendali.</w:t>
      </w:r>
    </w:p>
    <w:p>
      <w:pPr>
        <w:pStyle w:val="BodyText"/>
      </w:pPr>
      <w:r>
        <w:t xml:space="preserve">Fungsi rugi pelatihan menggunakan</w:t>
      </w:r>
      <w:r>
        <w:t xml:space="preserve"> </w:t>
      </w:r>
      <w:r>
        <w:rPr>
          <w:iCs/>
          <w:i/>
        </w:rPr>
        <w:t xml:space="preserve">mean squared error</w:t>
      </w:r>
      <w:r>
        <w:t xml:space="preserve"> </w:t>
      </w:r>
      <w:r>
        <w:t xml:space="preserve">(MSE) pada dua target</w:t>
      </w:r>
      <w:r>
        <w:t xml:space="preserve"> </w:t>
      </w:r>
      <w:r>
        <w:t xml:space="preserve">yang telah distandardisasi,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scr m:val="script"/>
                      </m:rPr>
                      <m:t>L</m:t>
                    </m:r>
                  </m:e>
                  <m:sub>
                    <m:r>
                      <m:rPr>
                        <m:sty m:val="p"/>
                      </m:rPr>
                      <m:t>M</m:t>
                    </m:r>
                    <m:r>
                      <m:rPr>
                        <m:sty m:val="p"/>
                      </m:rPr>
                      <m:t>S</m:t>
                    </m:r>
                    <m:r>
                      <m:rPr>
                        <m:sty m:val="p"/>
                      </m:rPr>
                      <m:t>E</m:t>
                    </m:r>
                  </m:sub>
                </m:sSub>
                <m:r>
                  <m:rPr>
                    <m:sty m:val="p"/>
                  </m:rPr>
                  <m:t>=</m:t>
                </m:r>
                <m:f>
                  <m:fPr>
                    <m:type m:val="bar"/>
                  </m:fPr>
                  <m:num>
                    <m:r>
                      <m:t>1</m:t>
                    </m:r>
                  </m:num>
                  <m:den>
                    <m:r>
                      <m:t>N</m:t>
                    </m:r>
                    <m:sSub>
                      <m:e>
                        <m:r>
                          <m:t>d</m:t>
                        </m:r>
                      </m:e>
                      <m:sub>
                        <m:r>
                          <m:t>y</m:t>
                        </m:r>
                      </m:sub>
                    </m:sSub>
                  </m:den>
                </m:f>
                <m:nary>
                  <m:naryPr>
                    <m:chr m:val="∑"/>
                    <m:limLoc m:val="undOvr"/>
                    <m:subHide m:val="off"/>
                    <m:supHide m:val="off"/>
                  </m:naryPr>
                  <m:sub>
                    <m:r>
                      <m:t>j</m:t>
                    </m:r>
                    <m:r>
                      <m:rPr>
                        <m:sty m:val="p"/>
                      </m:rPr>
                      <m:t>=</m:t>
                    </m:r>
                    <m:r>
                      <m:t>1</m:t>
                    </m:r>
                  </m:sub>
                  <m:sup>
                    <m:r>
                      <m:t>N</m:t>
                    </m:r>
                  </m:sup>
                  <m:e>
                    <m:sSubSup>
                      <m:e>
                        <m:d>
                          <m:dPr>
                            <m:begChr m:val="∥"/>
                            <m:endChr m:val="∥"/>
                            <m:sepChr m:val=""/>
                            <m:grow/>
                          </m:dPr>
                          <m:e>
                            <m:sSub>
                              <m:e>
                                <m:r>
                                  <m:rPr>
                                    <m:sty m:val="b"/>
                                  </m:rPr>
                                  <m:t>z</m:t>
                                </m:r>
                              </m:e>
                              <m:sub>
                                <m:r>
                                  <m:t>j</m:t>
                                </m:r>
                              </m:sub>
                            </m:sSub>
                            <m:r>
                              <m:rPr>
                                <m:sty m:val="p"/>
                              </m:rPr>
                              <m:t>−</m:t>
                            </m:r>
                            <m:sSub>
                              <m:e>
                                <m:acc>
                                  <m:accPr>
                                    <m:chr m:val="̂"/>
                                  </m:accPr>
                                  <m:e>
                                    <m:r>
                                      <m:rPr>
                                        <m:sty m:val="b"/>
                                      </m:rPr>
                                      <m:t>z</m:t>
                                    </m:r>
                                  </m:e>
                                </m:acc>
                              </m:e>
                              <m:sub>
                                <m:r>
                                  <m:t>j</m:t>
                                </m:r>
                              </m:sub>
                            </m:sSub>
                          </m:e>
                        </m:d>
                      </m:e>
                      <m:sub>
                        <m:r>
                          <m:t>2</m:t>
                        </m:r>
                      </m:sub>
                      <m:sup>
                        <m:r>
                          <m:t>2</m:t>
                        </m:r>
                      </m:sup>
                    </m:sSubSup>
                  </m:e>
                </m:nary>
                <m:r>
                  <m:rPr>
                    <m:sty m:val="p"/>
                  </m:rPr>
                  <m:t>,</m:t>
                </m:r>
                <m:r>
                  <m:t>  </m:t>
                </m:r>
                <m:sSub>
                  <m:e>
                    <m:r>
                      <m:t>d</m:t>
                    </m:r>
                  </m:e>
                  <m:sub>
                    <m:r>
                      <m:t>y</m:t>
                    </m:r>
                  </m:sub>
                </m:sSub>
                <m:r>
                  <m:rPr>
                    <m:sty m:val="p"/>
                  </m:rPr>
                  <m:t>=</m:t>
                </m:r>
                <m:r>
                  <m:t>2</m:t>
                </m:r>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(2.21)</w:t>
            </w:r>
          </w:p>
        </w:tc>
      </w:tr>
    </w:tbl>
    <w:p>
      <w:pPr>
        <w:pStyle w:val="BodyText"/>
      </w:pPr>
      <w:r>
        <w:t xml:space="preserve">dengan</w:t>
      </w:r>
      <w:r>
        <w:t xml:space="preserve"> </w:t>
      </w:r>
      <m:oMath>
        <m:r>
          <m:t>N</m:t>
        </m:r>
      </m:oMath>
      <w:r>
        <w:t xml:space="preserve"> </w:t>
      </w:r>
      <w:r>
        <w:t xml:space="preserve">sebagai jumlah sampel pelatihan dan</w:t>
      </w:r>
      <w:r>
        <w:t xml:space="preserve"> </w:t>
      </w:r>
      <m:oMath>
        <m:sSub>
          <m:e>
            <m:r>
              <m:t>d</m:t>
            </m:r>
          </m:e>
          <m:sub>
            <m:r>
              <m:t>y</m:t>
            </m:r>
          </m:sub>
        </m:sSub>
        <m:r>
          <m:rPr>
            <m:sty m:val="p"/>
          </m:rPr>
          <m:t>=</m:t>
        </m:r>
        <m:r>
          <m:t>2</m:t>
        </m:r>
      </m:oMath>
      <w:r>
        <w:t xml:space="preserve"> </w:t>
      </w:r>
      <w:r>
        <w:t xml:space="preserve">sebagai jumlah komponen target. Faktor</w:t>
      </w:r>
      <w:r>
        <w:t xml:space="preserve"> </w:t>
      </w:r>
      <m:oMath>
        <m:r>
          <m:t>1</m:t>
        </m:r>
        <m:r>
          <m:rPr>
            <m:sty m:val="p"/>
          </m:rPr>
          <m:t>/</m:t>
        </m:r>
        <m:d>
          <m:dPr>
            <m:begChr m:val="("/>
            <m:endChr m:val=")"/>
            <m:sepChr m:val=""/>
            <m:grow/>
          </m:dPr>
          <m:e>
            <m:r>
              <m:t>N</m:t>
            </m:r>
            <m:sSub>
              <m:e>
                <m:r>
                  <m:t>d</m:t>
                </m:r>
              </m:e>
              <m:sub>
                <m:r>
                  <m:t>y</m:t>
                </m:r>
              </m:sub>
            </m:sSub>
          </m:e>
        </m:d>
      </m:oMath>
      <w:r>
        <w:t xml:space="preserve"> </w:t>
      </w:r>
      <w:r>
        <w:t xml:space="preserve">membuat Persamaan (2.21) identik dengan</w:t>
      </w:r>
      <w:r>
        <w:t xml:space="preserve"> </w:t>
      </w:r>
      <w:r>
        <w:rPr>
          <w:iCs/>
          <w:i/>
        </w:rPr>
        <w:t xml:space="preserve">mean squared error</w:t>
      </w:r>
      <w:r>
        <w:t xml:space="preserve"> </w:t>
      </w:r>
      <w:r>
        <w:t xml:space="preserve">yang dirata-ratakan terhadap seluruh elemen target, sesuai implementasi</w:t>
      </w:r>
      <w:r>
        <w:t xml:space="preserve"> </w:t>
      </w:r>
      <w:r>
        <w:rPr>
          <w:rStyle w:val="VerbatimChar"/>
        </w:rPr>
        <w:t xml:space="preserve">nn.MSELoss(reduction="mean")</w:t>
      </w:r>
      <w:r>
        <w:t xml:space="preserve">. Tidak digunakan pembobot</w:t>
      </w:r>
      <w:r>
        <w:t xml:space="preserve"> </w:t>
      </w:r>
      <m:oMath>
        <m:sSub>
          <m:e>
            <m:r>
              <m:t>w</m:t>
            </m:r>
          </m:e>
          <m:sub>
            <m:r>
              <m:t>p</m:t>
            </m:r>
          </m:sub>
        </m:sSub>
      </m:oMath>
      <w:r>
        <w:t xml:space="preserve"> </w:t>
      </w:r>
      <w:r>
        <w:t xml:space="preserve">atau</w:t>
      </w:r>
      <w:r>
        <w:t xml:space="preserve"> </w:t>
      </w:r>
      <m:oMath>
        <m:sSub>
          <m:e>
            <m:r>
              <m:t>w</m:t>
            </m:r>
          </m:e>
          <m:sub>
            <m:r>
              <m:t>i</m:t>
            </m:r>
          </m:sub>
        </m:sSub>
      </m:oMath>
      <w:r>
        <w:t xml:space="preserve"> </w:t>
      </w:r>
      <w:r>
        <w:t xml:space="preserve">pada fungsi rugi final karena standardisasi target telah</w:t>
      </w:r>
      <w:r>
        <w:t xml:space="preserve"> </w:t>
      </w:r>
      <w:r>
        <w:t xml:space="preserve">menempatkan kedua komponen gain pada skala pembelajaran yang sebanding.</w:t>
      </w:r>
      <w:r>
        <w:t xml:space="preserve"> </w:t>
      </w:r>
      <w:r>
        <w:t xml:space="preserve">Parameter klasik dan parameter rangkaian kuantum QLSTM dilatih bersama melalui</w:t>
      </w:r>
      <w:r>
        <w:t xml:space="preserve"> </w:t>
      </w:r>
      <w:r>
        <w:t xml:space="preserve">optimisasi gradien. Istilah optimisasi pada konteks ini merujuk pada pelatihan</w:t>
      </w:r>
      <w:r>
        <w:t xml:space="preserve"> </w:t>
      </w:r>
      <w:r>
        <w:t xml:space="preserve">parameter model dan bukan pada penggunaan QLSTM sebagai algoritma optimasi</w:t>
      </w:r>
      <w:r>
        <w:t xml:space="preserve"> </w:t>
      </w:r>
      <w:r>
        <w:t xml:space="preserve">gain.</w:t>
      </w:r>
    </w:p>
    <w:p>
      <w:pPr>
        <w:pStyle w:val="BodyText"/>
      </w:pPr>
      <w:r>
        <w:t xml:space="preserve">Estimasi gain pada Persamaan (2.20) tidak secara otomatis dianggap aman untuk</w:t>
      </w:r>
      <w:r>
        <w:t xml:space="preserve"> </w:t>
      </w:r>
      <w:r>
        <w:t xml:space="preserve">diterapkan. Pada tahap</w:t>
      </w:r>
      <w:r>
        <w:t xml:space="preserve"> </w:t>
      </w:r>
      <w:r>
        <w:rPr>
          <w:iCs/>
          <w:i/>
        </w:rPr>
        <w:t xml:space="preserve">closed-loop</w:t>
      </w:r>
      <w:r>
        <w:t xml:space="preserve">, keluaran tersebut diproses menggunakan</w:t>
      </w:r>
      <w:r>
        <w:t xml:space="preserve"> </w:t>
      </w:r>
      <w:r>
        <w:t xml:space="preserve">rantai scheduler yang sama bagi LSTM–PI dan QLSTM–PI: transformasi balik target,</w:t>
      </w:r>
      <w:r>
        <w:t xml:space="preserve"> </w:t>
      </w:r>
      <w:r>
        <w:t xml:space="preserve">pemeriksaan keterhinggaan,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r>
        <w:t xml:space="preserve"> </w:t>
      </w:r>
      <w:r>
        <w:t xml:space="preserve">pembatasan laju perubahan gain, dan penerapan gain. Mekanisme tersebut</w:t>
      </w:r>
      <w:r>
        <w:t xml:space="preserve"> </w:t>
      </w:r>
      <w:r>
        <w:t xml:space="preserve">dijelaskan pada Subbab 2.8 melalui Persamaan (2.22) dan Persamaan (2.23).</w:t>
      </w:r>
    </w:p>
    <w:p>
      <w:pPr>
        <w:pStyle w:val="BodyText"/>
      </w:pPr>
      <w:r>
        <w:t xml:space="preserve">Dengan struktur tersebut, QLSTM berfungsi sebagai model pembelajaran temporal</w:t>
      </w:r>
      <w:r>
        <w:t xml:space="preserve"> </w:t>
      </w:r>
      <w:r>
        <w:t xml:space="preserve">untuk mengestimasi gain PI dan bukan sebagai pengendali ELC secara langsung.</w:t>
      </w:r>
      <w:r>
        <w:t xml:space="preserve"> </w:t>
      </w:r>
      <w:r>
        <w:t xml:space="preserve">Pengendali PI tetap membentuk aksi kendali terhadap ELC. Gambar 2.3 tetap</w:t>
      </w:r>
      <w:r>
        <w:t xml:space="preserve"> </w:t>
      </w:r>
      <w:r>
        <w:t xml:space="preserve">digunakan sebagai ilustrasi konseptual aliran informasi, dengan interpretasi</w:t>
      </w:r>
      <w:r>
        <w:t xml:space="preserve"> </w:t>
      </w:r>
      <w:r>
        <w:t xml:space="preserve">bahwa keluaran model harus melewati tahap inverse scaling dan kebijakan</w:t>
      </w:r>
      <w:r>
        <w:t xml:space="preserve"> </w:t>
      </w:r>
      <w:r>
        <w:t xml:space="preserve">scheduler sebelum diterapkan sebagai gain PI.</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pPr>
        <w:pStyle w:val="FirstParagraph"/>
      </w:pPr>
      <w:r>
        <w:t xml:space="preserve">Penjadwalan gain memerlukan pemisahan antara laju observasi kondisi sistem dan</w:t>
      </w:r>
      <w:r>
        <w:t xml:space="preserve"> </w:t>
      </w:r>
      <w:r>
        <w:t xml:space="preserve">laju pembaruan parameter pengendali. Dalam implementasi penelitian ini,</w:t>
      </w:r>
      <w:r>
        <w:t xml:space="preserve"> </w:t>
      </w:r>
      <w:r>
        <w:t xml:space="preserve">jendela kondisi operasi diperbarui dari observasi 20 Hz, sedangkan pasangan</w:t>
      </w:r>
      <w:r>
        <w:t xml:space="preserve"> </w:t>
      </w:r>
      <w:r>
        <w:t xml:space="preserve">gain baru diterapkan pada interval supervisori 10 Hz. Di antara dua pembaruan,</w:t>
      </w:r>
      <w:r>
        <w:t xml:space="preserve"> </w:t>
      </w:r>
      <w:r>
        <w:t xml:space="preserve">gain yang sedang berlaku dipertahankan dengan mekanisme</w:t>
      </w:r>
      <w:r>
        <w:t xml:space="preserve"> </w:t>
      </w:r>
      <w:r>
        <w:rPr>
          <w:iCs/>
          <w:i/>
        </w:rPr>
        <w:t xml:space="preserve">zero-order hold</w:t>
      </w:r>
      <w:r>
        <w:t xml:space="preserve">.</w:t>
      </w:r>
    </w:p>
    <w:p>
      <w:pPr>
        <w:pStyle w:val="BodyText"/>
      </w:pPr>
      <w:r>
        <w:t xml:space="preserve">Keluaran model tidak langsung diterapkan pada pengendali PI. Setelah prediksi</w:t>
      </w:r>
      <w:r>
        <w:t xml:space="preserve"> </w:t>
      </w:r>
      <w:r>
        <w:t xml:space="preserve">dikembalikan dari skala target ke satuan fisik dan lolos pemeriksaan</w:t>
      </w:r>
      <w:r>
        <w:t xml:space="preserve"> </w:t>
      </w:r>
      <w:r>
        <w:t xml:space="preserve">keterhinggaan, pasangan gain dibatasi pada</w:t>
      </w:r>
      <w:r>
        <w:t xml:space="preserve"> </w:t>
      </w:r>
      <w:r>
        <w:rPr>
          <w:iCs/>
          <w:i/>
        </w:rPr>
        <w:t xml:space="preserve">envelope</w:t>
      </w:r>
      <w:r>
        <w:t xml:space="preserve"> </w:t>
      </w:r>
      <w:r>
        <w:t xml:space="preserve">admissible. Dengan</w:t>
      </w:r>
      <w:r>
        <w:t xml:space="preserve"> </w:t>
      </w:r>
      <m:oMath>
        <m:sSub>
          <m:e>
            <m:r>
              <m:rPr>
                <m:sty m:val="b"/>
              </m:rPr>
              <m:t>θ</m:t>
            </m:r>
          </m:e>
          <m:sub>
            <m:r>
              <m:t>k</m:t>
            </m:r>
          </m:sub>
        </m:sSub>
        <m:r>
          <m:rPr>
            <m:sty m:val="p"/>
          </m:rPr>
          <m:t>=</m:t>
        </m:r>
        <m:sSup>
          <m:e>
            <m:d>
              <m:dPr>
                <m:begChr m:val="["/>
                <m:endChr m:val="]"/>
                <m:sepChr m:val=""/>
                <m:grow/>
              </m:dPr>
              <m:e>
                <m:sSub>
                  <m:e>
                    <m:r>
                      <m:t>K</m:t>
                    </m:r>
                  </m:e>
                  <m:sub>
                    <m:r>
                      <m:t>p</m:t>
                    </m:r>
                    <m:r>
                      <m:rPr>
                        <m:sty m:val="p"/>
                      </m:rPr>
                      <m:t>,</m:t>
                    </m:r>
                    <m:r>
                      <m:t>k</m:t>
                    </m:r>
                  </m:sub>
                </m:sSub>
                <m:r>
                  <m:rPr>
                    <m:sty m:val="p"/>
                  </m:rPr>
                  <m:t>,</m:t>
                </m:r>
                <m:sSub>
                  <m:e>
                    <m:r>
                      <m:t>K</m:t>
                    </m:r>
                  </m:e>
                  <m:sub>
                    <m:r>
                      <m:t>i</m:t>
                    </m:r>
                    <m:r>
                      <m:rPr>
                        <m:sty m:val="p"/>
                      </m:rPr>
                      <m:t>,</m:t>
                    </m:r>
                    <m:r>
                      <m:t>k</m:t>
                    </m:r>
                  </m:sub>
                </m:sSub>
              </m:e>
            </m:d>
          </m:e>
          <m:sup>
            <m:r>
              <m:rPr>
                <m:sty m:val="p"/>
                <m:scr m:val="sans-serif"/>
              </m:rPr>
              <m:t>T</m:t>
            </m:r>
          </m:sup>
        </m:sSup>
      </m:oMath>
      <w:r>
        <w:t xml:space="preserve">, hasil pembatasan</w:t>
      </w:r>
      <w:r>
        <w:t xml:space="preserve"> </w:t>
      </w:r>
      <w:r>
        <w:t xml:space="preserve">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Sup>
                  <m:e>
                    <m:r>
                      <m:rPr>
                        <m:sty m:val="b"/>
                      </m:rPr>
                      <m:t>θ</m:t>
                    </m:r>
                  </m:e>
                  <m:sub>
                    <m:r>
                      <m:t>k</m:t>
                    </m:r>
                  </m:sub>
                  <m:sup>
                    <m:r>
                      <m:rPr>
                        <m:sty m:val="p"/>
                      </m:rPr>
                      <m:t>c</m:t>
                    </m:r>
                    <m:r>
                      <m:rPr>
                        <m:sty m:val="p"/>
                      </m:rPr>
                      <m:t>l</m:t>
                    </m:r>
                    <m:r>
                      <m:rPr>
                        <m:sty m:val="p"/>
                      </m:rPr>
                      <m:t>i</m:t>
                    </m:r>
                    <m:r>
                      <m:rPr>
                        <m:sty m:val="p"/>
                      </m:rPr>
                      <m:t>p</m:t>
                    </m:r>
                  </m:sup>
                </m:sSubSup>
                <m:r>
                  <m:rPr>
                    <m:sty m:val="p"/>
                  </m:rPr>
                  <m:t>=</m:t>
                </m:r>
                <m:r>
                  <m:rPr>
                    <m:sty m:val="p"/>
                  </m:rPr>
                  <m:t>min</m:t>
                </m:r>
                <m:d>
                  <m:dPr>
                    <m:begChr m:val="("/>
                    <m:endChr m:val=")"/>
                    <m:sepChr m:val=""/>
                    <m:grow/>
                  </m:dPr>
                  <m:e>
                    <m:sSup>
                      <m:e>
                        <m:r>
                          <m:rPr>
                            <m:sty m:val="b"/>
                          </m:rPr>
                          <m:t>θ</m:t>
                        </m:r>
                      </m:e>
                      <m:sup>
                        <m:r>
                          <m:rPr>
                            <m:sty m:val="p"/>
                          </m:rPr>
                          <m:t>max</m:t>
                        </m:r>
                      </m:sup>
                    </m:sSup>
                    <m:r>
                      <m:rPr>
                        <m:sty m:val="p"/>
                      </m:rPr>
                      <m:t>,</m:t>
                    </m:r>
                    <m:r>
                      <m:rPr>
                        <m:sty m:val="p"/>
                      </m:rPr>
                      <m:t>max</m:t>
                    </m:r>
                    <m:d>
                      <m:dPr>
                        <m:begChr m:val="("/>
                        <m:endChr m:val=")"/>
                        <m:sepChr m:val=""/>
                        <m:grow/>
                      </m:dPr>
                      <m:e>
                        <m:sSup>
                          <m:e>
                            <m:r>
                              <m:rPr>
                                <m:sty m:val="b"/>
                              </m:rPr>
                              <m:t>θ</m:t>
                            </m:r>
                          </m:e>
                          <m:sup>
                            <m:r>
                              <m:rPr>
                                <m:sty m:val="p"/>
                              </m:rPr>
                              <m:t>min</m:t>
                            </m:r>
                          </m:sup>
                        </m:sSup>
                        <m:r>
                          <m:rPr>
                            <m:sty m:val="p"/>
                          </m:rPr>
                          <m:t>,</m:t>
                        </m:r>
                        <m:sSub>
                          <m:e>
                            <m:acc>
                              <m:accPr>
                                <m:chr m:val="̂"/>
                              </m:accPr>
                              <m:e>
                                <m:r>
                                  <m:rPr>
                                    <m:sty m:val="b"/>
                                  </m:rPr>
                                  <m:t>θ</m:t>
                                </m:r>
                              </m:e>
                            </m:acc>
                          </m:e>
                          <m:sub>
                            <m:r>
                              <m:t>k</m:t>
                            </m:r>
                          </m:sub>
                        </m:sSub>
                      </m:e>
                    </m:d>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(2.22)</w:t>
            </w:r>
          </w:p>
        </w:tc>
      </w:tr>
    </w:tbl>
    <w:p>
      <w:pPr>
        <w:pStyle w:val="BodyText"/>
      </w:pPr>
      <w:r>
        <w:t xml:space="preserve">dengan</w:t>
      </w:r>
      <w:r>
        <w:t xml:space="preserve"> </w:t>
      </w:r>
      <m:oMath>
        <m:sSup>
          <m:e>
            <m:r>
              <m:rPr>
                <m:sty m:val="b"/>
              </m:rPr>
              <m:t>θ</m:t>
            </m:r>
          </m:e>
          <m:sup>
            <m:r>
              <m:rPr>
                <m:sty m:val="p"/>
              </m:rPr>
              <m:t>min</m:t>
            </m:r>
          </m:sup>
        </m:sSup>
        <m:r>
          <m:rPr>
            <m:sty m:val="p"/>
          </m:rPr>
          <m:t>=</m:t>
        </m:r>
        <m:sSup>
          <m:e>
            <m:d>
              <m:dPr>
                <m:begChr m:val="["/>
                <m:endChr m:val="]"/>
                <m:sepChr m:val=""/>
                <m:grow/>
              </m:dPr>
              <m:e>
                <m:r>
                  <m:t>2</m:t>
                </m:r>
                <m:r>
                  <m:rPr>
                    <m:sty m:val="p"/>
                  </m:rPr>
                  <m:t>,</m:t>
                </m:r>
                <m:r>
                  <m:t>16</m:t>
                </m:r>
                <m:r>
                  <m:rPr>
                    <m:sty m:val="p"/>
                  </m:rPr>
                  <m:t>,</m:t>
                </m:r>
                <m:r>
                  <m:t> </m:t>
                </m:r>
                <m:r>
                  <m:t>3</m:t>
                </m:r>
                <m:r>
                  <m:rPr>
                    <m:sty m:val="p"/>
                  </m:rPr>
                  <m:t>,</m:t>
                </m:r>
                <m:r>
                  <m:t>0368</m:t>
                </m:r>
              </m:e>
            </m:d>
          </m:e>
          <m:sup>
            <m:r>
              <m:rPr>
                <m:sty m:val="p"/>
                <m:scr m:val="sans-serif"/>
              </m:rPr>
              <m:t>T</m:t>
            </m:r>
          </m:sup>
        </m:sSup>
      </m:oMath>
      <w:r>
        <w:t xml:space="preserve"> </w:t>
      </w:r>
      <w:r>
        <w:t xml:space="preserve">dan</w:t>
      </w:r>
      <w:r>
        <w:t xml:space="preserve"> </w:t>
      </w:r>
      <m:oMath>
        <m:sSup>
          <m:e>
            <m:r>
              <m:rPr>
                <m:sty m:val="b"/>
              </m:rPr>
              <m:t>θ</m:t>
            </m:r>
          </m:e>
          <m:sup>
            <m:r>
              <m:rPr>
                <m:sty m:val="p"/>
              </m:rPr>
              <m:t>max</m:t>
            </m:r>
          </m:sup>
        </m:sSup>
        <m:r>
          <m:rPr>
            <m:sty m:val="p"/>
          </m:rPr>
          <m:t>=</m:t>
        </m:r>
        <m:sSup>
          <m:e>
            <m:d>
              <m:dPr>
                <m:begChr m:val="["/>
                <m:endChr m:val="]"/>
                <m:sepChr m:val=""/>
                <m:grow/>
              </m:dPr>
              <m:e>
                <m:r>
                  <m:t>3</m:t>
                </m:r>
                <m:r>
                  <m:rPr>
                    <m:sty m:val="p"/>
                  </m:rPr>
                  <m:t>,</m:t>
                </m:r>
                <m:r>
                  <m:t>36</m:t>
                </m:r>
                <m:r>
                  <m:rPr>
                    <m:sty m:val="p"/>
                  </m:rPr>
                  <m:t>,</m:t>
                </m:r>
                <m:r>
                  <m:t> </m:t>
                </m:r>
                <m:r>
                  <m:t>14</m:t>
                </m:r>
                <m:r>
                  <m:rPr>
                    <m:sty m:val="p"/>
                  </m:rPr>
                  <m:t>,</m:t>
                </m:r>
                <m:r>
                  <m:t>144</m:t>
                </m:r>
              </m:e>
            </m:d>
          </m:e>
          <m:sup>
            <m:r>
              <m:rPr>
                <m:sty m:val="p"/>
                <m:scr m:val="sans-serif"/>
              </m:rPr>
              <m:t>T</m:t>
            </m:r>
          </m:sup>
        </m:sSup>
      </m:oMath>
      <w:r>
        <w:t xml:space="preserve">.</w:t>
      </w:r>
      <w:r>
        <w:t xml:space="preserve"> </w:t>
      </w:r>
      <w:r>
        <w:t xml:space="preserve">Rentang tersebut merupakan</w:t>
      </w:r>
      <w:r>
        <w:t xml:space="preserve"> </w:t>
      </w:r>
      <w:r>
        <w:rPr>
          <w:iCs/>
          <w:i/>
        </w:rPr>
        <w:t xml:space="preserve">envelope</w:t>
      </w:r>
      <w:r>
        <w:t xml:space="preserve"> </w:t>
      </w:r>
      <w:r>
        <w:t xml:space="preserve">gain admissible yang diturunkan dari</w:t>
      </w:r>
      <w:r>
        <w:t xml:space="preserve"> </w:t>
      </w:r>
      <w:r>
        <w:t xml:space="preserve">label pembelajaran final dan tidak ditafsirkan sebagai jaminan kestabilan</w:t>
      </w:r>
      <w:r>
        <w:t xml:space="preserve"> </w:t>
      </w:r>
      <w:r>
        <w:t xml:space="preserve">global untuk seluruh kondisi fisik PLTMH.</w:t>
      </w:r>
    </w:p>
    <w:p>
      <w:pPr>
        <w:pStyle w:val="BodyText"/>
      </w:pPr>
      <w:r>
        <w:t xml:space="preserve">Perubahan gain selanjutnya dibatasi terhadap nilai yang sedang diterapkan.</w:t>
      </w:r>
      <w:r>
        <w:t xml:space="preserve"> </w:t>
      </w:r>
      <w:r>
        <w:t xml:space="preserve">Untuk interval pembaruan</w:t>
      </w:r>
      <w:r>
        <w:t xml:space="preserve"> </w:t>
      </w:r>
      <m:oMath>
        <m:r>
          <m:t>Δ</m:t>
        </m:r>
        <m:sSub>
          <m:e>
            <m:r>
              <m:t>t</m:t>
            </m:r>
          </m:e>
          <m:sub>
            <m:r>
              <m:t>u</m:t>
            </m:r>
          </m:sub>
        </m:sSub>
        <m:r>
          <m:rPr>
            <m:sty m:val="p"/>
          </m:rPr>
          <m:t>=</m:t>
        </m:r>
        <m:r>
          <m:t>0</m:t>
        </m:r>
        <m:r>
          <m:rPr>
            <m:sty m:val="p"/>
          </m:rPr>
          <m:t>,</m:t>
        </m:r>
        <m:r>
          <m:t>1</m:t>
        </m:r>
      </m:oMath>
      <w:r>
        <w:t xml:space="preserve"> </w:t>
      </w:r>
      <w:r>
        <w:t xml:space="preserve">s dan vektor batas laju</w:t>
      </w:r>
      <w:r>
        <w:t xml:space="preserve"> </w:t>
      </w:r>
      <m:oMath>
        <m:r>
          <m:rPr>
            <m:sty m:val="b"/>
          </m:rPr>
          <m:t>r</m:t>
        </m:r>
        <m:r>
          <m:rPr>
            <m:sty m:val="p"/>
          </m:rPr>
          <m:t>=</m:t>
        </m:r>
        <m:sSup>
          <m:e>
            <m:d>
              <m:dPr>
                <m:begChr m:val="["/>
                <m:endChr m:val="]"/>
                <m:sepChr m:val=""/>
                <m:grow/>
              </m:dPr>
              <m:e>
                <m:r>
                  <m:t>1</m:t>
                </m:r>
                <m:r>
                  <m:rPr>
                    <m:sty m:val="p"/>
                  </m:rPr>
                  <m:t>,</m:t>
                </m:r>
                <m:r>
                  <m:t>2</m:t>
                </m:r>
                <m:r>
                  <m:rPr>
                    <m:sty m:val="p"/>
                  </m:rPr>
                  <m:t>,</m:t>
                </m:r>
                <m:r>
                  <m:t> </m:t>
                </m:r>
                <m:r>
                  <m:t>11</m:t>
                </m:r>
                <m:r>
                  <m:rPr>
                    <m:sty m:val="p"/>
                  </m:rPr>
                  <m:t>,</m:t>
                </m:r>
                <m:r>
                  <m:t>1072</m:t>
                </m:r>
              </m:e>
            </m:d>
          </m:e>
          <m:sup>
            <m:r>
              <m:rPr>
                <m:sty m:val="p"/>
                <m:scr m:val="sans-serif"/>
              </m:rPr>
              <m:t>T</m:t>
            </m:r>
          </m:sup>
        </m:sSup>
      </m:oMath>
      <w:r>
        <w:t xml:space="preserve"> </w:t>
      </w:r>
      <w:r>
        <w:t xml:space="preserve">per detik, gain terapan</w:t>
      </w:r>
      <w:r>
        <w:t xml:space="preserve"> </w:t>
      </w:r>
      <w:r>
        <w:t xml:space="preserve">dirumuskan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b"/>
                      </m:rPr>
                      <m:t>θ</m:t>
                    </m:r>
                  </m:e>
                  <m:sub>
                    <m:r>
                      <m:t>k</m:t>
                    </m:r>
                  </m:sub>
                </m:sSub>
                <m:r>
                  <m:rPr>
                    <m:sty m:val="p"/>
                  </m:rPr>
                  <m:t>=</m:t>
                </m:r>
                <m:sSub>
                  <m:e>
                    <m:r>
                      <m:rPr>
                        <m:sty m:val="b"/>
                      </m:rPr>
                      <m:t>θ</m:t>
                    </m:r>
                  </m:e>
                  <m:sub>
                    <m:r>
                      <m:t>k</m:t>
                    </m:r>
                    <m:r>
                      <m:rPr>
                        <m:sty m:val="p"/>
                      </m:rPr>
                      <m:t>−</m:t>
                    </m:r>
                    <m:r>
                      <m:t>1</m:t>
                    </m:r>
                  </m:sub>
                </m:sSub>
                <m:r>
                  <m:rPr>
                    <m:sty m:val="p"/>
                  </m:rPr>
                  <m:t>+</m:t>
                </m:r>
                <m:r>
                  <m:rPr>
                    <m:sty m:val="p"/>
                  </m:rPr>
                  <m:t>clip</m:t>
                </m:r>
                <m:d>
                  <m:dPr>
                    <m:begChr m:val="("/>
                    <m:endChr m:val=")"/>
                    <m:sepChr m:val=""/>
                    <m:grow/>
                  </m:dPr>
                  <m:e>
                    <m:sSubSup>
                      <m:e>
                        <m:r>
                          <m:rPr>
                            <m:sty m:val="b"/>
                          </m:rPr>
                          <m:t>θ</m:t>
                        </m:r>
                      </m:e>
                      <m:sub>
                        <m:r>
                          <m:t>k</m:t>
                        </m:r>
                      </m:sub>
                      <m:sup>
                        <m:r>
                          <m:rPr>
                            <m:sty m:val="p"/>
                          </m:rPr>
                          <m:t>c</m:t>
                        </m:r>
                        <m:r>
                          <m:rPr>
                            <m:sty m:val="p"/>
                          </m:rPr>
                          <m:t>l</m:t>
                        </m:r>
                        <m:r>
                          <m:rPr>
                            <m:sty m:val="p"/>
                          </m:rPr>
                          <m:t>i</m:t>
                        </m:r>
                        <m:r>
                          <m:rPr>
                            <m:sty m:val="p"/>
                          </m:rPr>
                          <m:t>p</m:t>
                        </m:r>
                      </m:sup>
                    </m:sSubSup>
                    <m:r>
                      <m:rPr>
                        <m:sty m:val="p"/>
                      </m:rPr>
                      <m:t>−</m:t>
                    </m:r>
                    <m:sSub>
                      <m:e>
                        <m:r>
                          <m:rPr>
                            <m:sty m:val="b"/>
                          </m:rPr>
                          <m:t>θ</m:t>
                        </m:r>
                      </m:e>
                      <m:sub>
                        <m:r>
                          <m:t>k</m:t>
                        </m:r>
                        <m:r>
                          <m:rPr>
                            <m:sty m:val="p"/>
                          </m:rPr>
                          <m:t>−</m:t>
                        </m:r>
                        <m:r>
                          <m:t>1</m:t>
                        </m:r>
                      </m:sub>
                    </m:sSub>
                    <m:r>
                      <m:rPr>
                        <m:sty m:val="p"/>
                      </m:rPr>
                      <m:t>,</m:t>
                    </m:r>
                    <m:r>
                      <m:rPr>
                        <m:sty m:val="p"/>
                      </m:rPr>
                      <m:t>−</m:t>
                    </m:r>
                    <m:r>
                      <m:rPr>
                        <m:sty m:val="b"/>
                      </m:rPr>
                      <m:t>r</m:t>
                    </m:r>
                    <m:r>
                      <m:t>Δ</m:t>
                    </m:r>
                    <m:sSub>
                      <m:e>
                        <m:r>
                          <m:t>t</m:t>
                        </m:r>
                      </m:e>
                      <m:sub>
                        <m:r>
                          <m:t>u</m:t>
                        </m:r>
                      </m:sub>
                    </m:sSub>
                    <m:r>
                      <m:rPr>
                        <m:sty m:val="p"/>
                      </m:rPr>
                      <m:t>,</m:t>
                    </m:r>
                    <m:r>
                      <m:rPr>
                        <m:sty m:val="b"/>
                      </m:rPr>
                      <m:t>r</m:t>
                    </m:r>
                    <m:r>
                      <m:t>Δ</m:t>
                    </m:r>
                    <m:sSub>
                      <m:e>
                        <m:r>
                          <m:t>t</m:t>
                        </m:r>
                      </m:e>
                      <m:sub>
                        <m:r>
                          <m:t>u</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(2.23)</w:t>
            </w:r>
          </w:p>
        </w:tc>
      </w:tr>
    </w:tbl>
    <w:p>
      <w:pPr>
        <w:pStyle w:val="BodyText"/>
      </w:pPr>
      <w:r>
        <w:t xml:space="preserve">Persamaan (2.22) dan Persamaan (2.23) merepresentasikan dua perlindungan yang</w:t>
      </w:r>
      <w:r>
        <w:t xml:space="preserve"> </w:t>
      </w:r>
      <w:r>
        <w:t xml:space="preserve">berbeda.</w:t>
      </w:r>
      <w:r>
        <w:t xml:space="preserve"> </w:t>
      </w:r>
      <w:r>
        <w:rPr>
          <w:iCs/>
          <w:i/>
        </w:rPr>
        <w:t xml:space="preserve">Clipping</w:t>
      </w:r>
      <w:r>
        <w:t xml:space="preserve"> </w:t>
      </w:r>
      <w:r>
        <w:t xml:space="preserve">membatasi besar gain pada</w:t>
      </w:r>
      <w:r>
        <w:t xml:space="preserve"> </w:t>
      </w:r>
      <w:r>
        <w:rPr>
          <w:iCs/>
          <w:i/>
        </w:rPr>
        <w:t xml:space="preserve">envelope</w:t>
      </w:r>
      <w:r>
        <w:t xml:space="preserve"> </w:t>
      </w:r>
      <w:r>
        <w:t xml:space="preserve">admissible, sedangkan</w:t>
      </w:r>
      <w:r>
        <w:t xml:space="preserve"> </w:t>
      </w:r>
      <w:r>
        <w:rPr>
          <w:iCs/>
          <w:i/>
        </w:rPr>
        <w:t xml:space="preserve">pembatasan laju</w:t>
      </w:r>
      <w:r>
        <w:t xml:space="preserve"> </w:t>
      </w:r>
      <w:r>
        <w:t xml:space="preserve">membatasi besar perubahan antarpembaruan. Penelitian ini</w:t>
      </w:r>
      <w:r>
        <w:t xml:space="preserve"> </w:t>
      </w:r>
      <w:r>
        <w:t xml:space="preserve">tidak menggunakan</w:t>
      </w:r>
      <w:r>
        <w:t xml:space="preserve"> </w:t>
      </w:r>
      <w:r>
        <w:rPr>
          <w:iCs/>
          <w:i/>
        </w:rPr>
        <w:t xml:space="preserve">exponential smoothing</w:t>
      </w:r>
      <w:r>
        <w:t xml:space="preserve"> </w:t>
      </w:r>
      <w:r>
        <w:t xml:space="preserve">sebagai tahap tambahan.</w:t>
      </w:r>
    </w:p>
    <w:p>
      <w:pPr>
        <w:pStyle w:val="BodyText"/>
      </w:pPr>
      <w:r>
        <w:t xml:space="preserve">Rugh dan Shamma (2000) menekankan bahwa</w:t>
      </w:r>
      <w:r>
        <w:t xml:space="preserve"> </w:t>
      </w:r>
      <w:r>
        <w:rPr>
          <w:iCs/>
          <w:i/>
        </w:rPr>
        <w:t xml:space="preserve">gain scheduling</w:t>
      </w:r>
      <w:r>
        <w:t xml:space="preserve"> </w:t>
      </w:r>
      <w:r>
        <w:t xml:space="preserve">tidak hanya</w:t>
      </w:r>
      <w:r>
        <w:t xml:space="preserve"> </w:t>
      </w:r>
      <w:r>
        <w:t xml:space="preserve">memerlukan kualitas pengendali pada titik operasi tertentu, tetapi juga perlu</w:t>
      </w:r>
      <w:r>
        <w:t xml:space="preserve"> </w:t>
      </w:r>
      <w:r>
        <w:t xml:space="preserve">memperhatikan perpindahan antarparameter. Atas dasar tersebut, LSTM–PI dan</w:t>
      </w:r>
      <w:r>
        <w:t xml:space="preserve"> </w:t>
      </w:r>
      <w:r>
        <w:t xml:space="preserve">QLSTM–PI menggunakan aturan penerapan gain yang identik agar perbedaan respons</w:t>
      </w:r>
      <w:r>
        <w:t xml:space="preserve"> </w:t>
      </w:r>
      <w:r>
        <w:rPr>
          <w:iCs/>
          <w:i/>
        </w:rPr>
        <w:t xml:space="preserve">closed-loop</w:t>
      </w:r>
      <w:r>
        <w:t xml:space="preserve"> </w:t>
      </w:r>
      <w:r>
        <w:t xml:space="preserve">merefleksikan perbedaan keluaran model, bukan perbedaan mekanisme</w:t>
      </w:r>
      <w:r>
        <w:t xml:space="preserve"> </w:t>
      </w:r>
      <w:r>
        <w:t xml:space="preserve">transisi gain. Jika keluaran model tidak berhingga atau tidak tersedia,</w:t>
      </w:r>
      <w:r>
        <w:t xml:space="preserve"> </w:t>
      </w:r>
      <w:r>
        <w:t xml:space="preserve">scheduler menggunakan pasangan fallback PI tetap yang telah dibekukan.</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pPr>
        <w:pStyle w:val="FirstParagraph"/>
      </w:pPr>
      <w:r>
        <w:t xml:space="preserve">Evaluasi penelitian dibedakan menjadi kinerja estimasi gain pada tingkat model</w:t>
      </w:r>
      <w:r>
        <w:t xml:space="preserve"> </w:t>
      </w:r>
      <w:r>
        <w:t xml:space="preserve">dan kinerja respons pada tingkat</w:t>
      </w:r>
      <w:r>
        <w:t xml:space="preserve"> </w:t>
      </w:r>
      <w:r>
        <w:rPr>
          <w:iCs/>
          <w:i/>
        </w:rPr>
        <w:t xml:space="preserve">closed-loop</w:t>
      </w:r>
      <w:r>
        <w:t xml:space="preserve">. Pemisahan tersebut diperlukan</w:t>
      </w:r>
      <w:r>
        <w:t xml:space="preserve"> </w:t>
      </w:r>
      <w:r>
        <w:t xml:space="preserve">karena galat estimasi gain yang rendah tidak secara otomatis menghasilkan</w:t>
      </w:r>
      <w:r>
        <w:t xml:space="preserve"> </w:t>
      </w:r>
      <w:r>
        <w:t xml:space="preserve">respons frekuensi yang lebih baik setelah gain diterapkan pada pengendali PI.</w:t>
      </w:r>
    </w:p>
    <w:p>
      <w:pPr>
        <w:pStyle w:val="BodyText"/>
      </w:pPr>
      <w:r>
        <w:t xml:space="preserve">Deviasi frekuensi terhadap nilai referensi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r>
                  <m:t>f</m:t>
                </m:r>
                <m:d>
                  <m:dPr>
                    <m:begChr m:val="("/>
                    <m:endChr m:val=")"/>
                    <m:sepChr m:val=""/>
                    <m:grow/>
                  </m:dPr>
                  <m:e>
                    <m:r>
                      <m:t>t</m:t>
                    </m:r>
                  </m:e>
                </m:d>
                <m:r>
                  <m:rPr>
                    <m:sty m:val="p"/>
                  </m:rPr>
                  <m:t>=</m:t>
                </m:r>
                <m:r>
                  <m:t>f</m:t>
                </m:r>
                <m:d>
                  <m:dPr>
                    <m:begChr m:val="("/>
                    <m:endChr m:val=")"/>
                    <m:sepChr m:val=""/>
                    <m:grow/>
                  </m:dPr>
                  <m:e>
                    <m:r>
                      <m:t>t</m:t>
                    </m:r>
                  </m:e>
                </m:d>
                <m:r>
                  <m:rPr>
                    <m:sty m:val="p"/>
                  </m:rPr>
                  <m:t>−</m:t>
                </m:r>
                <m:sSub>
                  <m:e>
                    <m:r>
                      <m:t>f</m:t>
                    </m:r>
                  </m:e>
                  <m:sub>
                    <m:r>
                      <m:rPr>
                        <m:sty m:val="p"/>
                      </m:rPr>
                      <m:t>r</m:t>
                    </m:r>
                    <m:r>
                      <m:rPr>
                        <m:sty m:val="p"/>
                      </m:rPr>
                      <m:t>e</m:t>
                    </m:r>
                    <m:r>
                      <m:rPr>
                        <m:sty m:val="p"/>
                      </m:rPr>
                      <m:t>f</m:t>
                    </m:r>
                  </m:sub>
                </m:sSub>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(2.24)</w:t>
            </w:r>
          </w:p>
        </w:tc>
      </w:tr>
    </w:tbl>
    <w:p>
      <w:pPr>
        <w:pStyle w:val="BodyText"/>
      </w:pPr>
      <w:r>
        <w:t xml:space="preserve">Metrik primer untuk perbandingan</w:t>
      </w:r>
      <w:r>
        <w:t xml:space="preserve"> </w:t>
      </w:r>
      <w:r>
        <w:rPr>
          <w:iCs/>
          <w:i/>
        </w:rPr>
        <w:t xml:space="preserve">closed-loop</w:t>
      </w:r>
      <w:r>
        <w:t xml:space="preserve"> </w:t>
      </w:r>
      <w:r>
        <w:t xml:space="preserve">adalah</w:t>
      </w:r>
      <w:r>
        <w:t xml:space="preserve"> </w:t>
      </w:r>
      <w:r>
        <w:rPr>
          <w:iCs/>
          <w:i/>
        </w:rPr>
        <w:t xml:space="preserve">root mean square error</w:t>
      </w:r>
      <w:r>
        <w:t xml:space="preserve"> </w:t>
      </w:r>
      <w:r>
        <w:t xml:space="preserve">(RMSE) deviasi frekuensi pada interval pascagangguan,</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rPr>
                      <m:t>R</m:t>
                    </m:r>
                    <m:r>
                      <m:rPr>
                        <m:sty m:val="p"/>
                      </m:rPr>
                      <m:t>M</m:t>
                    </m:r>
                    <m:r>
                      <m:rPr>
                        <m:sty m:val="p"/>
                      </m:rPr>
                      <m:t>S</m:t>
                    </m:r>
                    <m:r>
                      <m:rPr>
                        <m:sty m:val="p"/>
                      </m:rPr>
                      <m:t>E</m:t>
                    </m:r>
                  </m:e>
                  <m:sub>
                    <m:r>
                      <m:t>Δ</m:t>
                    </m:r>
                    <m:r>
                      <m:t>f</m:t>
                    </m:r>
                  </m:sub>
                </m:sSub>
                <m:r>
                  <m:rPr>
                    <m:sty m:val="p"/>
                  </m:rPr>
                  <m:t>=</m:t>
                </m:r>
                <m:rad>
                  <m:radPr>
                    <m:degHide m:val="on"/>
                  </m:radPr>
                  <m:deg/>
                  <m:e>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r>
                                  <m:t>Δ</m:t>
                                </m:r>
                                <m:sSub>
                                  <m:e>
                                    <m:r>
                                      <m:t>f</m:t>
                                    </m:r>
                                  </m:e>
                                  <m:sub>
                                    <m:r>
                                      <m:t>n</m:t>
                                    </m:r>
                                  </m:sub>
                                </m:sSub>
                              </m:e>
                            </m:d>
                          </m:e>
                          <m:sup>
                            <m:r>
                              <m:t>2</m:t>
                            </m:r>
                          </m:sup>
                        </m:sSup>
                      </m:e>
                    </m:nary>
                  </m:e>
                </m:ra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(2.25)</w:t>
            </w:r>
          </w:p>
        </w:tc>
      </w:tr>
    </w:tbl>
    <w:p>
      <w:pPr>
        <w:pStyle w:val="BodyText"/>
      </w:pPr>
      <w:r>
        <w:t xml:space="preserve">Simpangan maksimum digunakan sebagai indikator pendukung dan dinyatakan</w:t>
      </w:r>
      <w:r>
        <w:t xml:space="preserve"> </w:t>
      </w:r>
      <w:r>
        <w:t xml:space="preserve">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f</m:t>
                    </m:r>
                  </m:e>
                  <m:sub>
                    <m:r>
                      <m:rPr>
                        <m:sty m:val="p"/>
                      </m:rPr>
                      <m:t>max</m:t>
                    </m:r>
                  </m:sub>
                </m:sSub>
                <m:r>
                  <m:rPr>
                    <m:sty m:val="p"/>
                  </m:rPr>
                  <m:t>=</m:t>
                </m:r>
                <m:limLow>
                  <m:e>
                    <m:r>
                      <m:rPr>
                        <m:sty m:val="p"/>
                      </m:rPr>
                      <m:t>max</m:t>
                    </m:r>
                  </m:e>
                  <m:lim>
                    <m:r>
                      <m:t>n</m:t>
                    </m:r>
                  </m:lim>
                </m:limLow>
                <m:d>
                  <m:dPr>
                    <m:begChr m:val="|"/>
                    <m:endChr m:val="|"/>
                    <m:sepChr m:val=""/>
                    <m:grow/>
                  </m:dPr>
                  <m:e>
                    <m:r>
                      <m:t>Δ</m:t>
                    </m:r>
                    <m:sSub>
                      <m:e>
                        <m:r>
                          <m:t>f</m:t>
                        </m:r>
                      </m:e>
                      <m:sub>
                        <m:r>
                          <m:t>n</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(2.26)</w:t>
            </w:r>
          </w:p>
        </w:tc>
      </w:tr>
    </w:tbl>
    <w:p>
      <w:pPr>
        <w:pStyle w:val="BodyText"/>
      </w:pPr>
      <w:r>
        <w:t xml:space="preserve">Perubahan relatif suatu metrik terhadap baseline dapat dituliskan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M</m:t>
                    </m:r>
                  </m:e>
                  <m:sub>
                    <m:r>
                      <m:rPr>
                        <m:sty m:val="p"/>
                      </m:rPr>
                      <m:t>%</m:t>
                    </m:r>
                  </m:sub>
                </m:sSub>
                <m:r>
                  <m:rPr>
                    <m:sty m:val="p"/>
                  </m:rPr>
                  <m:t>=</m:t>
                </m:r>
                <m:r>
                  <m:t>100</m:t>
                </m:r>
                <m:r>
                  <m:rPr>
                    <m:sty m:val="p"/>
                  </m:rPr>
                  <m:t>%</m:t>
                </m:r>
                <m:f>
                  <m:fPr>
                    <m:type m:val="bar"/>
                  </m:fPr>
                  <m:num>
                    <m:sSub>
                      <m:e>
                        <m:r>
                          <m:t>M</m:t>
                        </m:r>
                      </m:e>
                      <m:sub>
                        <m:r>
                          <m:rPr>
                            <m:sty m:val="p"/>
                          </m:rPr>
                          <m:t>m</m:t>
                        </m:r>
                        <m:r>
                          <m:rPr>
                            <m:sty m:val="p"/>
                          </m:rPr>
                          <m:t>e</m:t>
                        </m:r>
                        <m:r>
                          <m:rPr>
                            <m:sty m:val="p"/>
                          </m:rPr>
                          <m:t>t</m:t>
                        </m:r>
                        <m:r>
                          <m:rPr>
                            <m:sty m:val="p"/>
                          </m:rPr>
                          <m:t>o</m:t>
                        </m:r>
                        <m:r>
                          <m:rPr>
                            <m:sty m:val="p"/>
                          </m:rPr>
                          <m:t>d</m:t>
                        </m:r>
                        <m:r>
                          <m:rPr>
                            <m:sty m:val="p"/>
                          </m:rPr>
                          <m:t>e</m:t>
                        </m:r>
                      </m:sub>
                    </m:sSub>
                    <m:r>
                      <m:rPr>
                        <m:sty m:val="p"/>
                      </m:rPr>
                      <m:t>−</m:t>
                    </m:r>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num>
                  <m:den>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den>
                </m:f>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(2.27)</w:t>
            </w:r>
          </w:p>
        </w:tc>
      </w:tr>
    </w:tbl>
    <w:p>
      <w:pPr>
        <w:pStyle w:val="BodyText"/>
      </w:pPr>
      <w:r>
        <w:t xml:space="preserve">Untuk metrik yang semakin baik ketika nilainya mengecil, nilai</w:t>
      </w:r>
      <w:r>
        <w:t xml:space="preserve"> </w:t>
      </w:r>
      <m:oMath>
        <m:r>
          <m:t>Δ</m:t>
        </m:r>
        <m:sSub>
          <m:e>
            <m:r>
              <m:t>M</m:t>
            </m:r>
          </m:e>
          <m:sub>
            <m:r>
              <m:rPr>
                <m:sty m:val="p"/>
              </m:rPr>
              <m:t>%</m:t>
            </m:r>
          </m:sub>
        </m:sSub>
        <m:r>
          <m:rPr>
            <m:sty m:val="p"/>
          </m:rPr>
          <m:t>&lt;</m:t>
        </m:r>
        <m:r>
          <m:t>0</m:t>
        </m:r>
      </m:oMath>
      <w:r>
        <w:t xml:space="preserve"> </w:t>
      </w:r>
      <w:r>
        <w:t xml:space="preserve">menunjukkan penurunan terhadap baseline, sedangkan</w:t>
      </w:r>
      <w:r>
        <w:t xml:space="preserve"> </w:t>
      </w:r>
      <m:oMath>
        <m:r>
          <m:t>Δ</m:t>
        </m:r>
        <m:sSub>
          <m:e>
            <m:r>
              <m:t>M</m:t>
            </m:r>
          </m:e>
          <m:sub>
            <m:r>
              <m:rPr>
                <m:sty m:val="p"/>
              </m:rPr>
              <m:t>%</m:t>
            </m:r>
          </m:sub>
        </m:sSub>
        <m:r>
          <m:rPr>
            <m:sty m:val="p"/>
          </m:rPr>
          <m:t>&gt;</m:t>
        </m:r>
        <m:r>
          <m:t>0</m:t>
        </m:r>
      </m:oMath>
      <w:r>
        <w:t xml:space="preserve"> </w:t>
      </w:r>
      <w:r>
        <w:t xml:space="preserve">menunjukkan peningkatan nilai metrik dan tidak boleh</w:t>
      </w:r>
      <w:r>
        <w:t xml:space="preserve"> </w:t>
      </w:r>
      <w:r>
        <w:t xml:space="preserve">secara otomatis disebut sebagai perbaikan kinerja.</w:t>
      </w:r>
    </w:p>
    <w:p>
      <w:pPr>
        <w:pStyle w:val="BodyText"/>
      </w:pPr>
      <w:r>
        <w:t xml:space="preserve">Selain RMSE, interpretasi respons menggunakan simpangan maksimum, RoCoF,</w:t>
      </w:r>
      <w:r>
        <w:t xml:space="preserve"> </w:t>
      </w:r>
      <w:r>
        <w:t xml:space="preserve">waktu tunak, aktivitas beban buangan, lintasan gain, dan beban komputasi</w:t>
      </w:r>
      <w:r>
        <w:t xml:space="preserve"> </w:t>
      </w:r>
      <w:r>
        <w:t xml:space="preserve">sebagai bukti pendukung. Pada tingkat model, kualitas estimasi dianalisis</w:t>
      </w:r>
      <w:r>
        <w:t xml:space="preserve"> </w:t>
      </w:r>
      <w:r>
        <w:t xml:space="preserve">menggunakan kesalahan pada data uji, termasuk MSE terstandarisasi serta RMSE</w:t>
      </w:r>
      <w:r>
        <w:t xml:space="preserve"> </w:t>
      </w:r>
      <m:oMath>
        <m:sSub>
          <m:e>
            <m:r>
              <m:t>K</m:t>
            </m:r>
          </m:e>
          <m:sub>
            <m:r>
              <m:t>p</m:t>
            </m:r>
          </m:sub>
        </m:sSub>
      </m:oMath>
      <w:r>
        <w:t xml:space="preserve"> </w:t>
      </w:r>
      <w:r>
        <w:t xml:space="preserve">dan</w:t>
      </w:r>
      <w:r>
        <w:t xml:space="preserve"> </w:t>
      </w:r>
      <m:oMath>
        <m:sSub>
          <m:e>
            <m:r>
              <m:t>K</m:t>
            </m:r>
          </m:e>
          <m:sub>
            <m:r>
              <m:t>i</m:t>
            </m:r>
          </m:sub>
        </m:sSub>
      </m:oMath>
      <w:r>
        <w:t xml:space="preserve">. Kinerja tingkat model dan tingkat kendali dilaporkan</w:t>
      </w:r>
      <w:r>
        <w:t xml:space="preserve"> </w:t>
      </w:r>
      <w:r>
        <w:t xml:space="preserve">secara terpisah.</w:t>
      </w:r>
    </w:p>
    <w:p>
      <w:pPr>
        <w:pStyle w:val="BodyText"/>
      </w:pPr>
      <w:r>
        <w:t xml:space="preserve">Evaluasi primer</w:t>
      </w:r>
      <w:r>
        <w:t xml:space="preserve"> </w:t>
      </w:r>
      <w:r>
        <w:rPr>
          <w:iCs/>
          <w:i/>
        </w:rPr>
        <w:t xml:space="preserve">closed-loop</w:t>
      </w:r>
      <w:r>
        <w:t xml:space="preserve"> </w:t>
      </w:r>
      <w:r>
        <w:t xml:space="preserve">menggunakan dua keluarga dinamik uji independen.</w:t>
      </w:r>
      <w:r>
        <w:t xml:space="preserve"> </w:t>
      </w:r>
      <w:r>
        <w:t xml:space="preserve">Karena jumlah unit evaluasi primer independen hanya dua keluarga, hasil tidak</w:t>
      </w:r>
      <w:r>
        <w:t xml:space="preserve"> </w:t>
      </w:r>
      <w:r>
        <w:t xml:space="preserve">digunakan untuk melakukan</w:t>
      </w:r>
      <w:r>
        <w:t xml:space="preserve"> </w:t>
      </w:r>
      <w:r>
        <w:rPr>
          <w:iCs/>
          <w:i/>
        </w:rPr>
        <w:t xml:space="preserve">paired t-test</w:t>
      </w:r>
      <w:r>
        <w:t xml:space="preserve">, Wilcoxon</w:t>
      </w:r>
      <w:r>
        <w:t xml:space="preserve"> </w:t>
      </w:r>
      <w:r>
        <w:rPr>
          <w:iCs/>
          <w:i/>
        </w:rPr>
        <w:t xml:space="preserve">signed-rank test</w:t>
      </w:r>
      <w:r>
        <w:t xml:space="preserve">, atau</w:t>
      </w:r>
      <w:r>
        <w:t xml:space="preserve"> </w:t>
      </w:r>
      <w:r>
        <w:t xml:space="preserve">klaim signifikansi statistik. Perbandingan utama bersifat deskriptif pada</w:t>
      </w:r>
      <w:r>
        <w:t xml:space="preserve"> </w:t>
      </w:r>
      <w:r>
        <w:t xml:space="preserve">tingkat keluarga dinamik, sedangkan skenario tambahan hanya digunakan sesuai</w:t>
      </w:r>
      <w:r>
        <w:t xml:space="preserve"> </w:t>
      </w:r>
      <w:r>
        <w:t xml:space="preserve">peran diagnostiknya. Dengan demikian, banyaknya titik waktu hasil integrasi</w:t>
      </w:r>
      <w:r>
        <w:t xml:space="preserve"> </w:t>
      </w:r>
      <w:r>
        <w:t xml:space="preserve">numerik tidak diperlakukan sebagai replikasi statistik independen.</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pPr>
              <w:pStyle w:val="Compact"/>
              <w:jc w:val="left"/>
            </w:pPr>
            <w:r>
              <w:t xml:space="preserve">Penelitian ini (2026)</w:t>
            </w:r>
          </w:p>
        </w:tc>
        <w:tc>
          <w:tcPr>
            <w:tcW w:w="0" w:type="auto"/>
            <w:hideMark/>
          </w:tcPr>
          <w:p>
            <w:pPr>
              <w:pStyle w:val="Compact"/>
              <w:jc w:val="left"/>
            </w:pPr>
            <w:r>
              <w:t xml:space="preserve">QLSTM sebagai penjadwal gain PI adaptif pada tingkat supervisori</w:t>
            </w:r>
          </w:p>
        </w:tc>
        <w:tc>
          <w:tcPr>
            <w:tcW w:w="0" w:type="auto"/>
            <w:hideMark/>
          </w:tcPr>
          <w:p>
            <w:pPr>
              <w:pStyle w:val="Compact"/>
              <w:jc w:val="left"/>
            </w:pPr>
            <w:r>
              <w:t xml:space="preserve">ELC PLTMH 100 kW pada sistem terisolasi</w:t>
            </w:r>
          </w:p>
        </w:tc>
        <w:tc>
          <w:tcPr>
            <w:tcW w:w="0" w:type="auto"/>
            <w:hideMark/>
          </w:tcPr>
          <w:p>
            <w:pPr>
              <w:pStyle w:val="Compact"/>
              <w:jc w:val="left"/>
            </w:pPr>
            <w:r>
              <w:t xml:space="preserve">QLSTM mempelajari pemetaan jendela temporal empat fitur terhadap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dibentuk melalui pencarian grid bertahap secara luring pada model simulasi. Keluaran model dikembalikan ke skala fisik, diperiksa keterhinggaannya, dibatasi pada</w:t>
            </w:r>
            <w:r>
              <w:t xml:space="preserve"> </w:t>
            </w:r>
            <w:r>
              <w:rPr>
                <w:iCs/>
                <w:i/>
              </w:rPr>
              <w:t xml:space="preserve">envelope</w:t>
            </w:r>
            <w:r>
              <w:t xml:space="preserve"> </w:t>
            </w:r>
            <w:r>
              <w:t xml:space="preserve">gain</w:t>
            </w:r>
            <w:r>
              <w:t xml:space="preserve"> </w:t>
            </w:r>
            <w:r>
              <w:rPr>
                <w:iCs/>
                <w:i/>
              </w:rPr>
              <w:t xml:space="preserve">admissible</w:t>
            </w:r>
            <w:r>
              <w:t xml:space="preserve">, kemudian dikenai pembatasan laju perubahan sebelum diterapkan pada PI pada interval pembaruan 10 Hz. Evaluasi primer dibatasi pada dua keluarga dinamik uji independen; G3 hanya digunakan sebagai diagnostik dalam distribusi.</w:t>
            </w:r>
          </w:p>
        </w:tc>
        <w:tc>
          <w:tcPr>
            <w:tcW w:w="3269" w:type="dxa"/>
            <w:hideMark/>
          </w:tcPr>
          <w:p>
            <w:pPr>
              <w:pStyle w:val="Compact"/>
              <w:jc w:val="left"/>
            </w:pPr>
            <w:r>
              <w:t xml:space="preserve">Mengintegrasikan pemodelan PLTMH–ELC, pembentukan target gain, pembelajaran temporal LSTM/QLSTM, dan evaluasi</w:t>
            </w:r>
            <w:r>
              <w:t xml:space="preserve"> </w:t>
            </w:r>
            <w:r>
              <w:rPr>
                <w:iCs/>
                <w:i/>
              </w:rPr>
              <w:t xml:space="preserve">closed-loop</w:t>
            </w:r>
            <w:r>
              <w:t xml:space="preserve"> </w:t>
            </w:r>
            <w:r>
              <w:t xml:space="preserve">PI gain tetap, LSTM–PI, serta QLSTM–PI dalam satu kerangka yang dapat ditelusuri. QLSTM dievaluasi secara empiris tanpa asumsi superioritas, tanpa klaim generalisasi G3 independen, dan tanpa klaim</w:t>
            </w:r>
            <w:r>
              <w:t xml:space="preserve"> </w:t>
            </w:r>
            <w:r>
              <w:rPr>
                <w:iCs/>
                <w:i/>
              </w:rPr>
              <w:t xml:space="preserve">quantum advantage</w:t>
            </w:r>
            <w:r>
              <w:t xml:space="preserve">.</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pPr>
        <w:pStyle w:val="FirstParagraph"/>
      </w:pPr>
      <w:r>
        <w:t xml:space="preserve">Kajian LSTM dan QLSTM menunjukkan bahwa kedua arsitektur dapat digunakan untuk</w:t>
      </w:r>
      <w:r>
        <w:t xml:space="preserve"> </w:t>
      </w:r>
      <w:r>
        <w:t xml:space="preserve">pemodelan data sekuensial, tetapi literatur tersebut tidak dengan sendirinya</w:t>
      </w:r>
      <w:r>
        <w:t xml:space="preserve"> </w:t>
      </w:r>
      <w:r>
        <w:t xml:space="preserve">membuktikan bahwa penambahan komponen kuantum akan menghasilkan kinerja yang</w:t>
      </w:r>
      <w:r>
        <w:t xml:space="preserve"> </w:t>
      </w:r>
      <w:r>
        <w:t xml:space="preserve">lebih baik pada penjadwalan gain ELC PLTMH. Karena itu, LSTM ditempatkan</w:t>
      </w:r>
      <w:r>
        <w:t xml:space="preserve"> </w:t>
      </w:r>
      <w:r>
        <w:t xml:space="preserve">sebagai pembanding klasik dengan target, data, dan mekanisme penerapan gain</w:t>
      </w:r>
      <w:r>
        <w:t xml:space="preserve"> </w:t>
      </w:r>
      <w:r>
        <w:t xml:space="preserve">yang sebanding.</w:t>
      </w:r>
    </w:p>
    <w:p>
      <w:pPr>
        <w:pStyle w:val="BodyText"/>
      </w:pPr>
      <w:r>
        <w:t xml:space="preserve">Posisi penelitian ini terletak pada integrasi jendela temporal kondisi operasi,</w:t>
      </w:r>
      <w:r>
        <w:t xml:space="preserve"> </w:t>
      </w:r>
      <w:r>
        <w:t xml:space="preserve">pembentukan target gain berbasis simulasi, serta penggunaan QLSTM sebagai</w:t>
      </w:r>
      <w:r>
        <w:t xml:space="preserve"> </w:t>
      </w:r>
      <w:r>
        <w:t xml:space="preserve">penjadwal gain PI pada tingkat supervisori.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melalui pencarian grid bertahap, sedangkan pada tahap</w:t>
      </w:r>
      <w:r>
        <w:t xml:space="preserve"> </w:t>
      </w:r>
      <w:r>
        <w:rPr>
          <w:iCs/>
          <w:i/>
        </w:rPr>
        <w:t xml:space="preserve">closed-loop</w:t>
      </w:r>
      <w:r>
        <w:t xml:space="preserve"> </w:t>
      </w:r>
      <w:r>
        <w:t xml:space="preserve">keluaran model dikembalikan ke skala fisik, diperiksa</w:t>
      </w:r>
      <w:r>
        <w:t xml:space="preserve"> </w:t>
      </w:r>
      <w:r>
        <w:t xml:space="preserve">keterhinggaannya, dibatasi pada</w:t>
      </w:r>
      <w:r>
        <w:t xml:space="preserve"> </w:t>
      </w:r>
      <w:r>
        <w:rPr>
          <w:iCs/>
          <w:i/>
        </w:rPr>
        <w:t xml:space="preserve">envelope</w:t>
      </w:r>
      <w:r>
        <w:t xml:space="preserve"> </w:t>
      </w:r>
      <w:r>
        <w:t xml:space="preserve">gain admissible, dan dikenai</w:t>
      </w:r>
      <w:r>
        <w:t xml:space="preserve"> </w:t>
      </w:r>
      <w:r>
        <w:t xml:space="preserve">pembatasan laju perubahan sebelum diterapkan pada PI. Mekanisme tersebut</w:t>
      </w:r>
      <w:r>
        <w:t xml:space="preserve"> </w:t>
      </w:r>
      <w:r>
        <w:t xml:space="preserve">digunakan secara identik pada LSTM–PI dan QLSTM–PI.</w:t>
      </w:r>
    </w:p>
    <w:p>
      <w:pPr>
        <w:pStyle w:val="BodyText"/>
      </w:pPr>
      <w:r>
        <w:t xml:space="preserve">Evaluasi kemampuan generalisasi primer dibatasi pada dua keluarga dinamik uji</w:t>
      </w:r>
      <w:r>
        <w:t xml:space="preserve"> </w:t>
      </w:r>
      <w:r>
        <w:t xml:space="preserve">independen dari regime G1 dan G2. Regime G3 tidak mempunyai keluarga uji</w:t>
      </w:r>
      <w:r>
        <w:t xml:space="preserve"> </w:t>
      </w:r>
      <w:r>
        <w:t xml:space="preserve">independen pada pembagian data akhir; karena itu, evaluasi G3 hanya diposisikan</w:t>
      </w:r>
      <w:r>
        <w:t xml:space="preserve"> </w:t>
      </w:r>
      <w:r>
        <w:t xml:space="preserve">sebagai diagnostik dalam distribusi dan bukan sebagai bukti generalisasi G3.</w:t>
      </w:r>
      <w:r>
        <w:t xml:space="preserve"> </w:t>
      </w:r>
      <w:r>
        <w:t xml:space="preserve">Posisi penelitian juga dibatasi pada simulasi numerik berbasis CPU dan</w:t>
      </w:r>
      <w:r>
        <w:t xml:space="preserve"> </w:t>
      </w:r>
      <w:r>
        <w:t xml:space="preserve">simulator kuantum PennyLane. Hasil tersebut tidak ditafsirkan sebagai bukti</w:t>
      </w:r>
      <w:r>
        <w:t xml:space="preserve"> </w:t>
      </w:r>
      <w:r>
        <w:rPr>
          <w:iCs/>
          <w:i/>
        </w:rPr>
        <w:t xml:space="preserve">quantum speedup</w:t>
      </w:r>
      <w:r>
        <w:t xml:space="preserve">,</w:t>
      </w:r>
      <w:r>
        <w:t xml:space="preserve"> </w:t>
      </w:r>
      <w:r>
        <w:rPr>
          <w:iCs/>
          <w:i/>
        </w:rPr>
        <w:t xml:space="preserve">quantum advantage</w:t>
      </w:r>
      <w:r>
        <w:t xml:space="preserve">, atau implementasi perangkat keras</w:t>
      </w:r>
      <w:r>
        <w:t xml:space="preserve"> </w:t>
      </w:r>
      <w:r>
        <w:t xml:space="preserve">kuantum.</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r>
        <w:t>Kerangka Evaluasi Penelitian</w:t>
      </w:r>
    </w:p>
    <w:p>
      <w:pPr>
        <w:pStyle w:val="FirstParagraph"/>
      </w:pPr>
      <w:r>
        <w:t xml:space="preserve">Penelitian ini tidak menetapkan hipotesis inferensial yang mengharuskan</w:t>
      </w:r>
      <w:r>
        <w:t xml:space="preserve"> </w:t>
      </w:r>
      <w:r>
        <w:t xml:space="preserve">QLSTM–PI lebih unggul daripada PI gain tetap atau LSTM–PI. QLSTM diperlakukan</w:t>
      </w:r>
      <w:r>
        <w:t xml:space="preserve"> </w:t>
      </w:r>
      <w:r>
        <w:t xml:space="preserve">sebagai metode yang diuji secara empiris sehingga hasil yang setara maupun</w:t>
      </w:r>
      <w:r>
        <w:t xml:space="preserve"> </w:t>
      </w:r>
      <w:r>
        <w:t xml:space="preserve">lebih rendah daripada pembanding tetap merupakan hasil penelitian yang sah.</w:t>
      </w:r>
    </w:p>
    <w:p>
      <w:pPr>
        <w:pStyle w:val="BodyText"/>
      </w:pPr>
      <w:r>
        <w:t xml:space="preserve">Evaluasi dilakukan pada dua tingkat. Tingkat pertama menilai kemampuan model</w:t>
      </w:r>
      <w:r>
        <w:t xml:space="preserve"> </w:t>
      </w:r>
      <w:r>
        <w:t xml:space="preserve">dalam mengestimasi pasangan gain</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pada data pengujian.</w:t>
      </w:r>
      <w:r>
        <w:t xml:space="preserve"> </w:t>
      </w:r>
      <w:r>
        <w:t xml:space="preserve">LSTM dan QLSTM dibandingkan menggunakan ukuran galat estimasi serta baseline</w:t>
      </w:r>
      <w:r>
        <w:t xml:space="preserve"> </w:t>
      </w:r>
      <w:r>
        <w:t xml:space="preserve">model yang telah ditetapkan. Hasil pada tingkat ini digunakan untuk memahami</w:t>
      </w:r>
      <w:r>
        <w:t xml:space="preserve"> </w:t>
      </w:r>
      <w:r>
        <w:t xml:space="preserve">kemampuan model mempelajari pemetaan kondisi temporal menuju target gain,</w:t>
      </w:r>
      <w:r>
        <w:t xml:space="preserve"> </w:t>
      </w:r>
      <w:r>
        <w:t xml:space="preserve">tetapi tidak digunakan sebagai satu-satunya dasar untuk menyimpulkan kinerja</w:t>
      </w:r>
      <w:r>
        <w:t xml:space="preserve"> </w:t>
      </w:r>
      <w:r>
        <w:t xml:space="preserve">pengendalian.</w:t>
      </w:r>
    </w:p>
    <w:p>
      <w:pPr>
        <w:pStyle w:val="BodyText"/>
      </w:pPr>
      <w:r>
        <w:t xml:space="preserve">Tingkat kedua menilai respons</w:t>
      </w:r>
      <w:r>
        <w:t xml:space="preserve"> </w:t>
      </w:r>
      <w:r>
        <w:rPr>
          <w:iCs/>
          <w:i/>
        </w:rPr>
        <w:t xml:space="preserve">closed-loop</w:t>
      </w:r>
      <w:r>
        <w:t xml:space="preserve"> </w:t>
      </w:r>
      <w:r>
        <w:t xml:space="preserve">PI gain tetap, LSTM–PI, dan</w:t>
      </w:r>
      <w:r>
        <w:t xml:space="preserve"> </w:t>
      </w:r>
      <w:r>
        <w:t xml:space="preserve">QLSTM–PI. Klaim primer dibatasi pada dua keluarga dinamik uji independen,</w:t>
      </w:r>
      <w:r>
        <w:t xml:space="preserve"> </w:t>
      </w:r>
      <w:r>
        <w:t xml:space="preserve">sedangkan skenario</w:t>
      </w:r>
      <w:r>
        <w:t xml:space="preserve"> </w:t>
      </w:r>
      <w:r>
        <w:rPr>
          <w:iCs/>
          <w:i/>
        </w:rPr>
        <w:t xml:space="preserve">boundary stress</w:t>
      </w:r>
      <w:r>
        <w:t xml:space="preserve"> </w:t>
      </w:r>
      <w:r>
        <w:t xml:space="preserve">dan diagnostik G3 digunakan sebagai bukti</w:t>
      </w:r>
      <w:r>
        <w:t xml:space="preserve"> </w:t>
      </w:r>
      <w:r>
        <w:t xml:space="preserve">sekunder sesuai ruang lingkupnya. RMSE deviasi frekuensi menjadi metrik primer,</w:t>
      </w:r>
      <w:r>
        <w:t xml:space="preserve"> </w:t>
      </w:r>
      <w:r>
        <w:t xml:space="preserve">dengan respons dinamik, aktivitas kendali, lintasan gain, dan beban komputasi</w:t>
      </w:r>
      <w:r>
        <w:t xml:space="preserve"> </w:t>
      </w:r>
      <w:r>
        <w:t xml:space="preserve">sebagai indikator pendukung.</w:t>
      </w:r>
    </w:p>
    <w:p>
      <w:pPr>
        <w:pStyle w:val="BodyText"/>
      </w:pPr>
      <w:r>
        <w:t xml:space="preserve">Karena hanya tersedia dua keluarga primer independen, penelitian tidak</w:t>
      </w:r>
      <w:r>
        <w:t xml:space="preserve"> </w:t>
      </w:r>
      <w:r>
        <w:t xml:space="preserve">melakukan pengujian signifikansi statistik antar-konfigurasi pengendali.</w:t>
      </w:r>
      <w:r>
        <w:t xml:space="preserve"> </w:t>
      </w:r>
      <w:r>
        <w:t xml:space="preserve">Kesimpulan ditarik secara deskriptif berdasarkan arah dan besar perbedaan</w:t>
      </w:r>
      <w:r>
        <w:t xml:space="preserve"> </w:t>
      </w:r>
      <w:r>
        <w:t xml:space="preserve">kinerja pada unit evaluasi yang benar-benar independen. Pendekatan ini juga</w:t>
      </w:r>
      <w:r>
        <w:t xml:space="preserve"> </w:t>
      </w:r>
      <w:r>
        <w:t xml:space="preserve">mencegah ribuan titik waktu hasil integrasi numerik diperlakukan secara keliru</w:t>
      </w:r>
      <w:r>
        <w:t xml:space="preserve"> </w:t>
      </w:r>
      <w:r>
        <w:t xml:space="preserve">sebagai replikasi eksperimen independen.</w:t>
      </w:r>
    </w:p>
    <w:p>
      <w:pPr>
        <w:pStyle w:val="BodyText"/>
      </w:pPr>
      <w:r>
        <w:t xml:space="preserve">Kerangka evaluasi tersebut mempertahankan prinsip falsifiabilitas penelitian.</w:t>
      </w:r>
      <w:r>
        <w:t xml:space="preserve"> </w:t>
      </w:r>
      <w:r>
        <w:t xml:space="preserve">Apabila QLSTM–PI tidak lebih baik daripada LSTM–PI atau PI gain tetap pada</w:t>
      </w:r>
      <w:r>
        <w:t xml:space="preserve"> </w:t>
      </w:r>
      <w:r>
        <w:t xml:space="preserve">konfigurasi yang diuji, hasil tersebut dipertahankan tanpa penalaan ulang</w:t>
      </w:r>
      <w:r>
        <w:t xml:space="preserve"> </w:t>
      </w:r>
      <w:r>
        <w:t xml:space="preserve">pascahasil, pergantian skenario primer, atau perubahan aturan scheduler.</w:t>
      </w:r>
    </w:p>
    <w:p w14:paraId="00000020" w14:textId="5BC2E599" w:rsidR="00547661" w:rsidRPr="002B0109" w:rsidRDefault="00665C9A" w:rsidP="008531DB">
      <w:pPr>
        <w:pStyle w:val="Heading1"/>
        <w:pageBreakBefore/>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14:paraId="5511D125" w14:textId="7C40796E" w:rsidR="0048594B" w:rsidRPr="005D51E1" w:rsidRDefault="0048594B" w:rsidP="00BA57EB">
      <w:pPr>
        <w:pStyle w:val="FirstParagraph"/>
        <w:spacing w:before="0" w:after="0"/>
        <w:ind w:firstLine="709"/>
        <w:rPr>
          <w:lang w:val="nb-NO"/>
        </w:rPr>
      </w:pPr>
      <w:r w:rsidRPr="006409D7">
        <w:rPr>
          <w:lang w:val="nb-NO"/>
        </w:rPr>
        <w:t>Penelitian menggunakan pendekatan eksperim</w:t>
      </w:r>
      <w:r w:rsidRPr="005D51E1">
        <w:rPr>
          <w:lang w:val="nb-NO"/>
        </w:rPr>
        <w:t xml:space="preserve">ental berbasis simulasi. </w:t>
      </w:r>
      <w:r w:rsidRPr="005D51E1">
        <w:t xml:space="preserve">Unit analisis adalah respons </w:t>
      </w:r>
      <w:r w:rsidRPr="005D51E1">
        <w:rPr>
          <w:i/>
          <w:iCs/>
        </w:rPr>
        <w:t>closed-loop</w:t>
      </w:r>
      <w:r w:rsidRPr="005D51E1">
        <w:t xml:space="preserve"> PLTMH–ELC pada satu skenario gangguan beban. Variabel bebas adalah metode penentuan gain PI—gain tetap, LSTM adaptif, dan QLSTM adaptif—sedangkan variabel terikat mencakup IAE, ITAE,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5D51E1">
        <w:t xml:space="preserve">, dan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5D51E1">
        <w:t xml:space="preserve">. </w:t>
      </w:r>
      <w:r w:rsidRPr="005D51E1">
        <w:rPr>
          <w:lang w:val="nb-NO"/>
        </w:rPr>
        <w:t>Parameter fisik sistem, kondisi awal, durasi simulasi, serta gangguan pada setiap pasangan pengujian dibuat sama.</w:t>
      </w:r>
    </w:p>
    <w:p w14:paraId="094E500F" w14:textId="0717841E" w:rsidR="004C3BAF" w:rsidRPr="005D51E1" w:rsidRDefault="0048594B" w:rsidP="00BA57EB">
      <w:pPr>
        <w:spacing w:after="0" w:line="360" w:lineRule="auto"/>
        <w:ind w:firstLine="567"/>
        <w:jc w:val="both"/>
        <w:rPr>
          <w:rFonts w:ascii="Times New Roman" w:hAnsi="Times New Roman" w:cs="Times New Roman"/>
          <w:color w:val="000000" w:themeColor="text1"/>
          <w:sz w:val="24"/>
          <w:szCs w:val="24"/>
          <w:lang w:val="nb-NO"/>
        </w:rPr>
      </w:pPr>
      <w:r w:rsidRPr="005D51E1">
        <w:rPr>
          <w:rFonts w:ascii="Times New Roman" w:hAnsi="Times New Roman"/>
          <w:sz w:val="24"/>
          <w:szCs w:val="24"/>
        </w:rPr>
        <w:t xml:space="preserve">Tahapan utama terdiri atas: (1) pemodelan dan validasi PLTMH–ELC; (2) penetapan PI baseline dan rentang gain aman; (3) penyusunan skenario operasi; (4) pencarian grid bertahap untuk memperoleh label gain; (5) pembentukan jendela temporal dan pemisahan dataset; (6) pelatihan LSTM dan QLSTM; (7) integrasi model dalam simulasi </w:t>
      </w:r>
      <w:r w:rsidRPr="005D51E1">
        <w:rPr>
          <w:rFonts w:ascii="Times New Roman" w:hAnsi="Times New Roman"/>
          <w:i/>
          <w:iCs/>
          <w:sz w:val="24"/>
          <w:szCs w:val="24"/>
        </w:rPr>
        <w:t>closed-loop</w:t>
      </w:r>
      <w:r w:rsidRPr="005D51E1">
        <w:rPr>
          <w:rFonts w:ascii="Times New Roman" w:hAnsi="Times New Roman"/>
          <w:sz w:val="24"/>
          <w:szCs w:val="24"/>
        </w:rPr>
        <w:t>; dan (8) evaluasi komparatif serta statistik</w:t>
      </w:r>
      <w:r w:rsidR="00C90470" w:rsidRPr="005D51E1">
        <w:rPr>
          <w:rFonts w:ascii="Times New Roman" w:hAnsi="Times New Roman" w:cs="Times New Roman"/>
          <w:color w:val="000000" w:themeColor="text1"/>
          <w:sz w:val="24"/>
          <w:szCs w:val="24"/>
          <w:lang w:val="nb-NO"/>
        </w:rPr>
        <w:t>.</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14:paraId="40C48282" w14:textId="77777777" w:rsidR="00477361" w:rsidRPr="005D51E1" w:rsidRDefault="00477361" w:rsidP="00C3683E">
      <w:pPr>
        <w:pStyle w:val="FirstParagraph"/>
        <w:spacing w:before="0" w:after="0"/>
        <w:ind w:firstLine="709"/>
        <w:rPr>
          <w:lang w:val="nb-NO"/>
        </w:rPr>
      </w:pPr>
      <w:r w:rsidRPr="005D51E1">
        <w:rPr>
          <w:lang w:val="nb-NO"/>
        </w:rPr>
        <w:t>Penelitian dilaksanakan dalam lingkungan komputasi simulatif. Model dinamis dapat dikembangkan di MATLAB/Simulink atau Python, sedangkan LSTM dan QLSTM diimplementasikan menggunakan pustaka pembelajaran mesin serta simulator kuantum seperti PennyLane atau Qiskit. Satu lingkungan utama ditetapkan pada tahap implementasi agar hasil dapat direplikasi; lingkungan kedua hanya digunakan untuk verifikasi silang terbatas bila diperlukan.</w:t>
      </w:r>
    </w:p>
    <w:p w14:paraId="4DCF8579" w14:textId="77777777" w:rsidR="00477361" w:rsidRPr="005D51E1" w:rsidRDefault="00477361" w:rsidP="00C3683E">
      <w:pPr>
        <w:pStyle w:val="BodyText"/>
        <w:spacing w:before="0" w:after="0"/>
        <w:ind w:firstLine="709"/>
        <w:rPr>
          <w:lang w:val="nb-NO"/>
        </w:rPr>
      </w:pPr>
      <w:r w:rsidRPr="005D51E1">
        <w:rPr>
          <w:lang w:val="nb-NO"/>
        </w:rPr>
        <w:t>Rencana penelitian berlangsung selama 12 bulan sebagaimana dirangkum pada Tabel 3.1.</w:t>
      </w:r>
    </w:p>
    <w:p w14:paraId="16341F43" w14:textId="18A3C6B6" w:rsidR="001C7D82" w:rsidRDefault="0016722B" w:rsidP="002B056A">
      <w:pPr>
        <w:pStyle w:val="Caption"/>
        <w:spacing w:before="240" w:after="120"/>
        <w:rPr>
          <w:rFonts w:ascii="Times New Roman" w:hAnsi="Times New Roman" w:cs="Times New Roman"/>
          <w:i w:val="0"/>
          <w:iCs w:val="0"/>
          <w:color w:val="000000" w:themeColor="text1"/>
          <w:sz w:val="24"/>
          <w:szCs w:val="24"/>
        </w:rPr>
      </w:pPr>
      <w:bookmarkStart w:id="86" w:name="_Toc239329214"/>
      <w:bookmarkStart w:id="87" w:name="_Toc239329324"/>
      <w:r w:rsidRPr="00BB7479">
        <w:rPr>
          <w:rFonts w:ascii="Times New Roman" w:hAnsi="Times New Roman" w:cs="Times New Roman"/>
          <w:b/>
          <w:bCs/>
          <w:i w:val="0"/>
          <w:iCs w:val="0"/>
          <w:color w:val="000000" w:themeColor="text1"/>
          <w:sz w:val="24"/>
          <w:szCs w:val="24"/>
        </w:rPr>
        <w:t xml:space="preserve">Tabel </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STYLEREF 1 \s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III</w:t>
      </w:r>
      <w:r w:rsidRPr="00BB7479">
        <w:rPr>
          <w:rFonts w:ascii="Times New Roman" w:hAnsi="Times New Roman" w:cs="Times New Roman"/>
          <w:b/>
          <w:bCs/>
          <w:i w:val="0"/>
          <w:iCs w:val="0"/>
          <w:color w:val="000000" w:themeColor="text1"/>
          <w:sz w:val="24"/>
          <w:szCs w:val="24"/>
        </w:rPr>
        <w:fldChar w:fldCharType="end"/>
      </w:r>
      <w:r w:rsidRPr="00BB7479">
        <w:rPr>
          <w:rFonts w:ascii="Times New Roman" w:hAnsi="Times New Roman" w:cs="Times New Roman"/>
          <w:b/>
          <w:bCs/>
          <w:i w:val="0"/>
          <w:iCs w:val="0"/>
          <w:color w:val="000000" w:themeColor="text1"/>
          <w:sz w:val="24"/>
          <w:szCs w:val="24"/>
        </w:rPr>
        <w:t>.</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SEQ Tabel \* ARABIC \s 1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1</w:t>
      </w:r>
      <w:r w:rsidRPr="00BB7479">
        <w:rPr>
          <w:rFonts w:ascii="Times New Roman" w:hAnsi="Times New Roman" w:cs="Times New Roman"/>
          <w:b/>
          <w:bCs/>
          <w:i w:val="0"/>
          <w:iCs w:val="0"/>
          <w:color w:val="000000" w:themeColor="text1"/>
          <w:sz w:val="24"/>
          <w:szCs w:val="24"/>
        </w:rPr>
        <w:fldChar w:fldCharType="end"/>
      </w:r>
      <w:r w:rsidR="001C7D82" w:rsidRPr="00BB7479">
        <w:rPr>
          <w:rFonts w:ascii="Times New Roman" w:hAnsi="Times New Roman" w:cs="Times New Roman"/>
          <w:i w:val="0"/>
          <w:iCs w:val="0"/>
          <w:color w:val="000000" w:themeColor="text1"/>
          <w:sz w:val="24"/>
          <w:szCs w:val="24"/>
          <w:lang w:val="nb-NO"/>
        </w:rPr>
        <w:t xml:space="preserve"> </w:t>
      </w:r>
      <w:r w:rsidR="009A1685" w:rsidRPr="00BB7479">
        <w:rPr>
          <w:rFonts w:ascii="Times New Roman" w:hAnsi="Times New Roman" w:cs="Times New Roman"/>
          <w:i w:val="0"/>
          <w:iCs w:val="0"/>
          <w:color w:val="000000" w:themeColor="text1"/>
          <w:sz w:val="24"/>
          <w:szCs w:val="24"/>
        </w:rPr>
        <w:t>Rencana Jadwal Pelaksanaan Penelitian</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
        <w:gridCol w:w="6735"/>
        <w:gridCol w:w="175"/>
        <w:gridCol w:w="175"/>
        <w:gridCol w:w="175"/>
        <w:gridCol w:w="175"/>
        <w:gridCol w:w="175"/>
        <w:gridCol w:w="175"/>
        <w:gridCol w:w="175"/>
        <w:gridCol w:w="175"/>
        <w:gridCol w:w="175"/>
        <w:gridCol w:w="270"/>
        <w:gridCol w:w="270"/>
        <w:gridCol w:w="270"/>
      </w:tblGrid>
      <w:tr w:rsidR="00D561FC" w:rsidRPr="0090743A" w14:paraId="0DA7053C" w14:textId="77777777" w:rsidTr="00857F1B">
        <w:trPr>
          <w:tblHeader/>
        </w:trPr>
        <w:tc>
          <w:tcPr>
            <w:tcW w:w="0" w:type="auto"/>
            <w:vMerge w:val="restart"/>
            <w:vAlign w:val="center"/>
          </w:tcPr>
          <w:p w14:paraId="4D81C3F8" w14:textId="4547D9B3"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No.</w:t>
            </w:r>
          </w:p>
        </w:tc>
        <w:tc>
          <w:tcPr>
            <w:tcW w:w="0" w:type="auto"/>
            <w:vMerge w:val="restart"/>
            <w:vAlign w:val="center"/>
          </w:tcPr>
          <w:p w14:paraId="0647EE7E" w14:textId="47C31231"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Kegiatan Penelitian</w:t>
            </w:r>
          </w:p>
        </w:tc>
        <w:tc>
          <w:tcPr>
            <w:tcW w:w="0" w:type="auto"/>
            <w:gridSpan w:val="12"/>
            <w:vAlign w:val="center"/>
          </w:tcPr>
          <w:p w14:paraId="3D33F767" w14:textId="11774CAB"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Bulan ke-</w:t>
            </w:r>
            <m:oMath>
              <m:r>
                <m:rPr>
                  <m:sty m:val="bi"/>
                </m:rPr>
                <w:rPr>
                  <w:rFonts w:ascii="Cambria Math" w:eastAsia="Times New Roman" w:hAnsi="Cambria Math" w:cs="Times New Roman"/>
                  <w:sz w:val="24"/>
                  <w:szCs w:val="24"/>
                  <w:lang w:val="en-US" w:eastAsia="en-US"/>
                </w:rPr>
                <m:t>i</m:t>
              </m:r>
            </m:oMath>
          </w:p>
        </w:tc>
      </w:tr>
      <w:tr w:rsidR="00D561FC" w:rsidRPr="0090743A" w14:paraId="5593A9B2" w14:textId="77777777" w:rsidTr="003A2F7C">
        <w:trPr>
          <w:tblHeader/>
        </w:trPr>
        <w:tc>
          <w:tcPr>
            <w:tcW w:w="0" w:type="auto"/>
            <w:vMerge/>
            <w:vAlign w:val="center"/>
            <w:hideMark/>
          </w:tcPr>
          <w:p w14:paraId="04CBFD1F" w14:textId="1432BDB4"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Merge/>
            <w:vAlign w:val="center"/>
            <w:hideMark/>
          </w:tcPr>
          <w:p w14:paraId="20BA36CD" w14:textId="31452366"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Align w:val="bottom"/>
            <w:hideMark/>
          </w:tcPr>
          <w:p w14:paraId="22D5143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w:t>
            </w:r>
          </w:p>
        </w:tc>
        <w:tc>
          <w:tcPr>
            <w:tcW w:w="0" w:type="auto"/>
            <w:vAlign w:val="bottom"/>
            <w:hideMark/>
          </w:tcPr>
          <w:p w14:paraId="63754F3B"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2</w:t>
            </w:r>
          </w:p>
        </w:tc>
        <w:tc>
          <w:tcPr>
            <w:tcW w:w="0" w:type="auto"/>
            <w:vAlign w:val="bottom"/>
            <w:hideMark/>
          </w:tcPr>
          <w:p w14:paraId="266D6EB1"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3</w:t>
            </w:r>
          </w:p>
        </w:tc>
        <w:tc>
          <w:tcPr>
            <w:tcW w:w="0" w:type="auto"/>
            <w:vAlign w:val="bottom"/>
            <w:hideMark/>
          </w:tcPr>
          <w:p w14:paraId="4F3C312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4</w:t>
            </w:r>
          </w:p>
        </w:tc>
        <w:tc>
          <w:tcPr>
            <w:tcW w:w="0" w:type="auto"/>
            <w:vAlign w:val="bottom"/>
            <w:hideMark/>
          </w:tcPr>
          <w:p w14:paraId="533574A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5</w:t>
            </w:r>
          </w:p>
        </w:tc>
        <w:tc>
          <w:tcPr>
            <w:tcW w:w="0" w:type="auto"/>
            <w:vAlign w:val="bottom"/>
            <w:hideMark/>
          </w:tcPr>
          <w:p w14:paraId="44C86D2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6</w:t>
            </w:r>
          </w:p>
        </w:tc>
        <w:tc>
          <w:tcPr>
            <w:tcW w:w="0" w:type="auto"/>
            <w:vAlign w:val="bottom"/>
            <w:hideMark/>
          </w:tcPr>
          <w:p w14:paraId="5810462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7</w:t>
            </w:r>
          </w:p>
        </w:tc>
        <w:tc>
          <w:tcPr>
            <w:tcW w:w="0" w:type="auto"/>
            <w:vAlign w:val="bottom"/>
            <w:hideMark/>
          </w:tcPr>
          <w:p w14:paraId="035F85CF"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8</w:t>
            </w:r>
          </w:p>
        </w:tc>
        <w:tc>
          <w:tcPr>
            <w:tcW w:w="0" w:type="auto"/>
            <w:vAlign w:val="bottom"/>
            <w:hideMark/>
          </w:tcPr>
          <w:p w14:paraId="029D088E"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9</w:t>
            </w:r>
          </w:p>
        </w:tc>
        <w:tc>
          <w:tcPr>
            <w:tcW w:w="0" w:type="auto"/>
            <w:vAlign w:val="bottom"/>
            <w:hideMark/>
          </w:tcPr>
          <w:p w14:paraId="5D5DE575"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10</w:t>
            </w:r>
          </w:p>
        </w:tc>
        <w:tc>
          <w:tcPr>
            <w:tcW w:w="0" w:type="auto"/>
            <w:vAlign w:val="bottom"/>
            <w:hideMark/>
          </w:tcPr>
          <w:p w14:paraId="7638AA58"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11</w:t>
            </w:r>
          </w:p>
        </w:tc>
        <w:tc>
          <w:tcPr>
            <w:tcW w:w="0" w:type="auto"/>
            <w:vAlign w:val="bottom"/>
            <w:hideMark/>
          </w:tcPr>
          <w:p w14:paraId="76EBF7F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12</w:t>
            </w:r>
          </w:p>
        </w:tc>
      </w:tr>
      <w:tr w:rsidR="0090743A" w:rsidRPr="0090743A" w14:paraId="3AC55226" w14:textId="77777777" w:rsidTr="00070D8F">
        <w:tc>
          <w:tcPr>
            <w:tcW w:w="0" w:type="auto"/>
            <w:vAlign w:val="center"/>
            <w:hideMark/>
          </w:tcPr>
          <w:p w14:paraId="1CE2071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w:t>
            </w:r>
          </w:p>
        </w:tc>
        <w:tc>
          <w:tcPr>
            <w:tcW w:w="0" w:type="auto"/>
            <w:vAlign w:val="center"/>
            <w:hideMark/>
          </w:tcPr>
          <w:p w14:paraId="263655F2"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Studi pustaka dan spesifikasi model</w:t>
            </w:r>
          </w:p>
        </w:tc>
        <w:tc>
          <w:tcPr>
            <w:tcW w:w="0" w:type="auto"/>
            <w:vAlign w:val="center"/>
            <w:hideMark/>
          </w:tcPr>
          <w:p w14:paraId="0D8BE9E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B99E7B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A5C1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923E50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11510B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02DE1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B380E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083D99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40480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61744D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5B833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68F83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015FCC42" w14:textId="77777777" w:rsidTr="00070D8F">
        <w:tc>
          <w:tcPr>
            <w:tcW w:w="0" w:type="auto"/>
            <w:vAlign w:val="center"/>
            <w:hideMark/>
          </w:tcPr>
          <w:p w14:paraId="3EED4BF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2</w:t>
            </w:r>
          </w:p>
        </w:tc>
        <w:tc>
          <w:tcPr>
            <w:tcW w:w="0" w:type="auto"/>
            <w:vAlign w:val="center"/>
            <w:hideMark/>
          </w:tcPr>
          <w:p w14:paraId="30889D4C"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Pemodelan dan validasi PLTMH–ELC</w:t>
            </w:r>
          </w:p>
        </w:tc>
        <w:tc>
          <w:tcPr>
            <w:tcW w:w="0" w:type="auto"/>
            <w:vAlign w:val="center"/>
            <w:hideMark/>
          </w:tcPr>
          <w:p w14:paraId="04074088"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254365A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5A016C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997B3D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BDAA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D6FFBD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C1E0D4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014E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05F30B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EDCE9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EDE18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FF1914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71AD039B" w14:textId="77777777" w:rsidTr="00070D8F">
        <w:tc>
          <w:tcPr>
            <w:tcW w:w="0" w:type="auto"/>
            <w:vAlign w:val="center"/>
            <w:hideMark/>
          </w:tcPr>
          <w:p w14:paraId="532BA39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3</w:t>
            </w:r>
          </w:p>
        </w:tc>
        <w:tc>
          <w:tcPr>
            <w:tcW w:w="0" w:type="auto"/>
            <w:vAlign w:val="center"/>
            <w:hideMark/>
          </w:tcPr>
          <w:p w14:paraId="4C2ED63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Penetapan PI </w:t>
            </w:r>
            <w:r w:rsidRPr="0090743A">
              <w:rPr>
                <w:rFonts w:ascii="Times New Roman" w:eastAsia="Times New Roman" w:hAnsi="Times New Roman" w:cs="Times New Roman"/>
                <w:i/>
                <w:iCs/>
                <w:sz w:val="24"/>
                <w:szCs w:val="24"/>
                <w:lang w:val="en-US" w:eastAsia="en-US"/>
              </w:rPr>
              <w:t>baseline</w:t>
            </w:r>
            <w:r w:rsidRPr="0090743A">
              <w:rPr>
                <w:rFonts w:ascii="Times New Roman" w:eastAsia="Times New Roman" w:hAnsi="Times New Roman" w:cs="Times New Roman"/>
                <w:sz w:val="24"/>
                <w:szCs w:val="24"/>
                <w:lang w:val="en-US" w:eastAsia="en-US"/>
              </w:rPr>
              <w:t xml:space="preserve"> dan rentang gain</w:t>
            </w:r>
          </w:p>
        </w:tc>
        <w:tc>
          <w:tcPr>
            <w:tcW w:w="0" w:type="auto"/>
            <w:vAlign w:val="center"/>
            <w:hideMark/>
          </w:tcPr>
          <w:p w14:paraId="3BDD719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95BBE1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F986B7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55ECE4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11B654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3097AE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DBD0A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56E4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7FDF7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CABCA9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8DDB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EADEEB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A4E71C5" w14:textId="77777777" w:rsidTr="00070D8F">
        <w:tc>
          <w:tcPr>
            <w:tcW w:w="0" w:type="auto"/>
            <w:vAlign w:val="center"/>
            <w:hideMark/>
          </w:tcPr>
          <w:p w14:paraId="157032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4</w:t>
            </w:r>
          </w:p>
        </w:tc>
        <w:tc>
          <w:tcPr>
            <w:tcW w:w="0" w:type="auto"/>
            <w:vAlign w:val="center"/>
            <w:hideMark/>
          </w:tcPr>
          <w:p w14:paraId="0C53959F"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Penyusunan kondisi operasi dan skenario simulasi</w:t>
            </w:r>
          </w:p>
        </w:tc>
        <w:tc>
          <w:tcPr>
            <w:tcW w:w="0" w:type="auto"/>
            <w:vAlign w:val="center"/>
            <w:hideMark/>
          </w:tcPr>
          <w:p w14:paraId="7D9FB8A5"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737B818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642443E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5E4DA92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45EBB1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13B781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7A8F9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E3D5D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8FA39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183171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D1AB6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4CA273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8AF856B" w14:textId="77777777" w:rsidTr="00070D8F">
        <w:tc>
          <w:tcPr>
            <w:tcW w:w="0" w:type="auto"/>
            <w:vAlign w:val="center"/>
            <w:hideMark/>
          </w:tcPr>
          <w:p w14:paraId="6E6F6CC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5</w:t>
            </w:r>
          </w:p>
        </w:tc>
        <w:tc>
          <w:tcPr>
            <w:tcW w:w="0" w:type="auto"/>
            <w:vAlign w:val="center"/>
            <w:hideMark/>
          </w:tcPr>
          <w:p w14:paraId="43AD02CE"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Pembentukan target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en-US" w:eastAsia="en-US"/>
                    </w:rPr>
                    <m:t>*</m:t>
                  </m:r>
                </m:sup>
              </m:sSubSup>
              <m:r>
                <w:rPr>
                  <w:rFonts w:ascii="Cambria Math" w:eastAsia="Times New Roman" w:hAnsi="Cambria Math" w:cs="Times New Roman"/>
                  <w:sz w:val="24"/>
                  <w:szCs w:val="24"/>
                  <w:lang w:val="en-US" w:eastAsia="en-US"/>
                </w:rPr>
                <m:t>,</m:t>
              </m:r>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en-US" w:eastAsia="en-US"/>
                    </w:rPr>
                    <m:t>*</m:t>
                  </m:r>
                </m:sup>
              </m:sSubSup>
            </m:oMath>
            <w:r w:rsidRPr="0090743A">
              <w:rPr>
                <w:rFonts w:ascii="Times New Roman" w:eastAsia="Times New Roman" w:hAnsi="Times New Roman" w:cs="Times New Roman"/>
                <w:sz w:val="24"/>
                <w:szCs w:val="24"/>
                <w:lang w:val="en-US" w:eastAsia="en-US"/>
              </w:rPr>
              <w:t>untuk pembelajaran</w:t>
            </w:r>
          </w:p>
        </w:tc>
        <w:tc>
          <w:tcPr>
            <w:tcW w:w="0" w:type="auto"/>
            <w:vAlign w:val="center"/>
            <w:hideMark/>
          </w:tcPr>
          <w:p w14:paraId="5F51840F"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5440A8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4465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21B500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CD9B68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3CCD88"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2A5CED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DFD18A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A76C8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EFB30D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C772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C2EA9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0DB8511" w14:textId="77777777" w:rsidTr="00070D8F">
        <w:tc>
          <w:tcPr>
            <w:tcW w:w="0" w:type="auto"/>
            <w:vAlign w:val="center"/>
            <w:hideMark/>
          </w:tcPr>
          <w:p w14:paraId="409E216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lastRenderedPageBreak/>
              <w:t>6</w:t>
            </w:r>
          </w:p>
        </w:tc>
        <w:tc>
          <w:tcPr>
            <w:tcW w:w="0" w:type="auto"/>
            <w:vAlign w:val="center"/>
            <w:hideMark/>
          </w:tcPr>
          <w:p w14:paraId="0D753E5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Prapengolahan, pembentukan urutan temporal, dan pemisahan dataset</w:t>
            </w:r>
          </w:p>
        </w:tc>
        <w:tc>
          <w:tcPr>
            <w:tcW w:w="0" w:type="auto"/>
            <w:vAlign w:val="center"/>
            <w:hideMark/>
          </w:tcPr>
          <w:p w14:paraId="65E59773"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3EFFCA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8BD7A4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807B75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B10CF5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EEC41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58E5D33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3E4C09F"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79BE4CD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97572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CF68AA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31A6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97CEDBD" w14:textId="77777777" w:rsidTr="00070D8F">
        <w:tc>
          <w:tcPr>
            <w:tcW w:w="0" w:type="auto"/>
            <w:vAlign w:val="center"/>
            <w:hideMark/>
          </w:tcPr>
          <w:p w14:paraId="708C9EA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7</w:t>
            </w:r>
          </w:p>
        </w:tc>
        <w:tc>
          <w:tcPr>
            <w:tcW w:w="0" w:type="auto"/>
            <w:vAlign w:val="center"/>
            <w:hideMark/>
          </w:tcPr>
          <w:p w14:paraId="5DAFB028"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LSTM</w:t>
            </w:r>
          </w:p>
        </w:tc>
        <w:tc>
          <w:tcPr>
            <w:tcW w:w="0" w:type="auto"/>
            <w:vAlign w:val="center"/>
            <w:hideMark/>
          </w:tcPr>
          <w:p w14:paraId="3805C4A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054FCA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6D53E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839B35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A10CC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57527A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A7E4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8AF280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2A00E4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50A35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98247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BACDFC"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40F31D9C" w14:textId="77777777" w:rsidTr="00070D8F">
        <w:tc>
          <w:tcPr>
            <w:tcW w:w="0" w:type="auto"/>
            <w:vAlign w:val="center"/>
            <w:hideMark/>
          </w:tcPr>
          <w:p w14:paraId="08B93B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8</w:t>
            </w:r>
          </w:p>
        </w:tc>
        <w:tc>
          <w:tcPr>
            <w:tcW w:w="0" w:type="auto"/>
            <w:vAlign w:val="center"/>
            <w:hideMark/>
          </w:tcPr>
          <w:p w14:paraId="4537D1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QLSTM</w:t>
            </w:r>
          </w:p>
        </w:tc>
        <w:tc>
          <w:tcPr>
            <w:tcW w:w="0" w:type="auto"/>
            <w:vAlign w:val="center"/>
            <w:hideMark/>
          </w:tcPr>
          <w:p w14:paraId="097B9D9A"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659CFE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E8971D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E0087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2B07C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79D07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2D64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E7AE1B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B31DF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363AFC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525AA21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A08DC2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5D6A15A2" w14:textId="77777777" w:rsidTr="00070D8F">
        <w:tc>
          <w:tcPr>
            <w:tcW w:w="0" w:type="auto"/>
            <w:vAlign w:val="center"/>
            <w:hideMark/>
          </w:tcPr>
          <w:p w14:paraId="49C3C84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9</w:t>
            </w:r>
          </w:p>
        </w:tc>
        <w:tc>
          <w:tcPr>
            <w:tcW w:w="0" w:type="auto"/>
            <w:vAlign w:val="center"/>
            <w:hideMark/>
          </w:tcPr>
          <w:p w14:paraId="76E841F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Integrasi dan pengujian </w:t>
            </w:r>
            <w:r w:rsidRPr="0090743A">
              <w:rPr>
                <w:rFonts w:ascii="Times New Roman" w:eastAsia="Times New Roman" w:hAnsi="Times New Roman" w:cs="Times New Roman"/>
                <w:i/>
                <w:iCs/>
                <w:sz w:val="24"/>
                <w:szCs w:val="24"/>
                <w:lang w:val="en-US" w:eastAsia="en-US"/>
              </w:rPr>
              <w:t>closed-loop</w:t>
            </w:r>
          </w:p>
        </w:tc>
        <w:tc>
          <w:tcPr>
            <w:tcW w:w="0" w:type="auto"/>
            <w:vAlign w:val="center"/>
            <w:hideMark/>
          </w:tcPr>
          <w:p w14:paraId="47383EB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3CB723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EE959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0D4D3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6EA2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760B69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49F7C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B372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331C1E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6E7D86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652D4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F86B21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25E50E92" w14:textId="77777777" w:rsidTr="00070D8F">
        <w:tc>
          <w:tcPr>
            <w:tcW w:w="0" w:type="auto"/>
            <w:vAlign w:val="center"/>
            <w:hideMark/>
          </w:tcPr>
          <w:p w14:paraId="49CCD16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10</w:t>
            </w:r>
          </w:p>
        </w:tc>
        <w:tc>
          <w:tcPr>
            <w:tcW w:w="0" w:type="auto"/>
            <w:vAlign w:val="center"/>
            <w:hideMark/>
          </w:tcPr>
          <w:p w14:paraId="518B19D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Analisis komparatif dan statistik</w:t>
            </w:r>
          </w:p>
        </w:tc>
        <w:tc>
          <w:tcPr>
            <w:tcW w:w="0" w:type="auto"/>
            <w:vAlign w:val="center"/>
            <w:hideMark/>
          </w:tcPr>
          <w:p w14:paraId="606A2A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3FC16A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8FD52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95A24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22C62F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DD89C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CFB6E4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C2BB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DB0C2B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12B198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D806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126BB1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r>
      <w:tr w:rsidR="0090743A" w:rsidRPr="0090743A" w14:paraId="6277A61E" w14:textId="77777777" w:rsidTr="00070D8F">
        <w:tc>
          <w:tcPr>
            <w:tcW w:w="0" w:type="auto"/>
            <w:vAlign w:val="center"/>
            <w:hideMark/>
          </w:tcPr>
          <w:p w14:paraId="5F6CB20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11</w:t>
            </w:r>
          </w:p>
        </w:tc>
        <w:tc>
          <w:tcPr>
            <w:tcW w:w="0" w:type="auto"/>
            <w:vAlign w:val="center"/>
            <w:hideMark/>
          </w:tcPr>
          <w:p w14:paraId="67F5CEB1"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Penulisan dan penyelesaian tesis</w:t>
            </w:r>
          </w:p>
        </w:tc>
        <w:tc>
          <w:tcPr>
            <w:tcW w:w="0" w:type="auto"/>
            <w:vAlign w:val="center"/>
            <w:hideMark/>
          </w:tcPr>
          <w:p w14:paraId="5C073F94"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1D1F047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9FAC15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3D8E3D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2A9FE9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98728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6F253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3D6B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0822B7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CCA320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3EECA9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ADE6FE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r>
    </w:tbl>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14:paraId="29579BD0" w14:textId="73E9F6D0" w:rsidR="00511141" w:rsidRPr="005D51E1" w:rsidRDefault="00F462B1" w:rsidP="00511141">
      <w:pPr>
        <w:pStyle w:val="FirstParagraph"/>
        <w:spacing w:before="0" w:after="0"/>
        <w:ind w:firstLine="709"/>
        <w:rPr>
          <w:lang w:val="nb-NO"/>
        </w:rPr>
      </w:pPr>
      <w:r w:rsidRPr="005D51E1">
        <w:rPr>
          <w:lang w:val="nb-NO"/>
        </w:rPr>
        <w:t xml:space="preserve">Model mengintegrasikan dinamika turbin, generator sinkron, respons frekuensi, beban konsumen, pengendali PI, model rata-rata PWM–IGBT, dan beban buangan. </w:t>
      </w:r>
      <w:sdt>
        <w:sdtPr>
          <w:rPr>
            <w:rFonts w:cs="Times New Roman"/>
            <w:color w:val="000000"/>
            <w:lang w:val="nb-NO"/>
          </w:rPr>
          <w:tag w:val="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
          <w:id w:val="-981617412"/>
          <w:placeholder>
            <w:docPart w:val="DefaultPlaceholder_-1854013440"/>
          </w:placeholder>
        </w:sdtPr>
        <w:sdtContent>
          <w:r w:rsidR="00F2092E" w:rsidRPr="00F2092E">
            <w:rPr>
              <w:rFonts w:cs="Times New Roman"/>
              <w:color w:val="000000"/>
              <w:lang w:val="nb-NO"/>
            </w:rPr>
            <w:t>Sami et al. (2020)</w:t>
          </w:r>
        </w:sdtContent>
      </w:sdt>
      <w:r w:rsidRPr="005D51E1">
        <w:rPr>
          <w:lang w:val="nb-NO"/>
        </w:rPr>
        <w:t xml:space="preserve"> menjadi rujukan penyusunan dinamika pengendalian frekuensi PLTMH mandiri, sedangkan </w:t>
      </w:r>
      <w:sdt>
        <w:sdtPr>
          <w:rPr>
            <w:rFonts w:cs="Times New Roman"/>
            <w:color w:val="000000"/>
            <w:lang w:val="nb-NO"/>
          </w:rPr>
          <w:tag w:val="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54189771"/>
          <w:placeholder>
            <w:docPart w:val="DefaultPlaceholder_-1854013440"/>
          </w:placeholder>
        </w:sdtPr>
        <w:sdtContent>
          <w:r w:rsidR="00F2092E" w:rsidRPr="00F2092E">
            <w:rPr>
              <w:rFonts w:cs="Times New Roman"/>
              <w:color w:val="000000"/>
              <w:lang w:val="nb-NO"/>
            </w:rPr>
            <w:t>Singh et al. (2018)</w:t>
          </w:r>
        </w:sdtContent>
      </w:sdt>
      <w:r w:rsidRPr="005D51E1">
        <w:rPr>
          <w:lang w:val="nb-NO"/>
        </w:rPr>
        <w:t xml:space="preserve"> menjadi rujukan konfigurasi ELC dan hubungan daya beban buangan. Parameter nominal ditetapkan dari literatur dan data rancangan PLTMH 100 kW. Seluruh besaran daya dinyatakan dalam per-unit pada basis yang sama untuk menjaga konsistensi numerik</w:t>
      </w:r>
      <w:r w:rsidR="00511141" w:rsidRPr="005D51E1">
        <w:rPr>
          <w:lang w:val="nb-NO"/>
        </w:rPr>
        <w:t>.</w:t>
      </w:r>
    </w:p>
    <w:p w14:paraId="2101548E" w14:textId="4E926387" w:rsidR="00511141" w:rsidRPr="005D51E1" w:rsidRDefault="007C6864" w:rsidP="00511141">
      <w:pPr>
        <w:pStyle w:val="BodyText"/>
        <w:spacing w:before="0" w:after="0"/>
        <w:ind w:firstLine="709"/>
        <w:rPr>
          <w:lang w:val="nb-NO"/>
        </w:rPr>
      </w:pPr>
      <w:r w:rsidRPr="005D51E1">
        <w:rPr>
          <w:lang w:val="nb-NO"/>
        </w:rPr>
        <w:t xml:space="preserve">Dinamika frekuensi menggunakan Persamaan (2.1), sedangkan keseimbangan daya menggunakan Persamaan (2.2). Model turbin–governor disusun pada tingkat orde yang memadai untuk merepresentasikan respons mekanik tanpa memodelkan fenomena hidraulik rinci di luar kebutuhan kendali ELC. Model ELC menggunakan rasio kerja terbatas sesuai Persamaan (2.3), dilengkapi saturasi dan </w:t>
      </w:r>
      <w:r w:rsidRPr="005D51E1">
        <w:rPr>
          <w:i/>
          <w:iCs/>
          <w:lang w:val="nb-NO"/>
        </w:rPr>
        <w:t>anti-windup</w:t>
      </w:r>
      <w:r w:rsidR="00511141" w:rsidRPr="005D51E1">
        <w:rPr>
          <w:lang w:val="nb-NO"/>
        </w:rPr>
        <w:t>.</w:t>
      </w:r>
    </w:p>
    <w:p w14:paraId="5977C6B5" w14:textId="67EA1955" w:rsidR="00FB7C9E" w:rsidRPr="005D51E1" w:rsidRDefault="00511141" w:rsidP="00467468">
      <w:pPr>
        <w:spacing w:after="0" w:line="360" w:lineRule="auto"/>
        <w:ind w:firstLine="709"/>
        <w:jc w:val="both"/>
        <w:rPr>
          <w:rFonts w:ascii="Times New Roman" w:hAnsi="Times New Roman" w:cs="Times New Roman"/>
          <w:color w:val="000000" w:themeColor="text1"/>
          <w:sz w:val="24"/>
          <w:szCs w:val="24"/>
        </w:rPr>
      </w:pPr>
      <w:r w:rsidRPr="005D51E1">
        <w:rPr>
          <w:rFonts w:ascii="Times New Roman" w:hAnsi="Times New Roman"/>
          <w:sz w:val="24"/>
          <w:szCs w:val="24"/>
        </w:rPr>
        <w:t>Validasi model dilakukan melalui pemeriksaan keseimbangan daya, respons keadaan tunak, arah respons terhadap kenaikan dan penurunan beban, serta perbandingan karakteristik transien dengan hasil literatur atau model acuan. Model dinyatakan memadai jika menghasilkan perilaku fisik yang konsisten dan galat keadaan tunak pada kondisi nominal berada dalam toleransi yang ditentukan.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14:paraId="2374D33F" w14:textId="0A32CD6D" w:rsidR="00A94A05" w:rsidRPr="005D51E1" w:rsidRDefault="00A94A05" w:rsidP="00F963B2">
      <w:pPr>
        <w:pStyle w:val="FirstParagraph"/>
        <w:spacing w:before="0" w:after="0"/>
        <w:ind w:firstLine="709"/>
        <w:rPr>
          <w:rFonts w:cs="Times New Roman"/>
          <w:lang w:val="nb-NO"/>
        </w:rPr>
      </w:pPr>
      <w:r w:rsidRPr="005D51E1">
        <w:rPr>
          <w:rFonts w:cs="Times New Roman"/>
          <w:lang w:val="nb-NO"/>
        </w:rPr>
        <w:t xml:space="preserve">PI baseline ditentukan menggunakan metode penalaan konvensional yang dipilih secara eksplisit, kemudian diperiksa pada seluruh rentang operasi dasar. Nilai tersebut menjadi konfigurasi pembanding dan </w:t>
      </w:r>
      <w:r w:rsidRPr="005D51E1">
        <w:rPr>
          <w:rFonts w:cs="Times New Roman"/>
          <w:i/>
          <w:iCs/>
          <w:lang w:val="nb-NO"/>
        </w:rPr>
        <w:t>fallback gain</w:t>
      </w:r>
      <w:r w:rsidRPr="005D51E1">
        <w:rPr>
          <w:rFonts w:cs="Times New Roman"/>
          <w:lang w:val="nb-NO"/>
        </w:rPr>
        <w:t xml:space="preserve">. Rentang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oMath>
      <w:r w:rsidRPr="005D51E1">
        <w:rPr>
          <w:rFonts w:cs="Times New Roman"/>
          <w:lang w:val="nb-NO"/>
        </w:rPr>
        <w:t xml:space="preserve"> dan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5D51E1">
        <w:rPr>
          <w:rFonts w:cs="Times New Roman"/>
          <w:lang w:val="nb-NO"/>
        </w:rPr>
        <w:t xml:space="preserve"> ditentukan melalui analisis respons serta penyaringan stabilitas awal.</w:t>
      </w:r>
    </w:p>
    <w:p w14:paraId="38B8A239" w14:textId="77777777" w:rsidR="000928F8" w:rsidRPr="005D51E1" w:rsidRDefault="00A94A05"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5D51E1">
        <w:rPr>
          <w:rFonts w:ascii="Times New Roman" w:hAnsi="Times New Roman" w:cs="Times New Roman"/>
          <w:sz w:val="24"/>
          <w:szCs w:val="24"/>
        </w:rPr>
        <w:lastRenderedPageBreak/>
        <w:t xml:space="preserve">Setiap kandidat gain harus memenuhi persyaratan: respons terbatas, tidak menghasilkan osilasi yang membesar, tidak menyebabkan frekuensi melewati batas keselamatan simulasi, dan tidak mempertahankan saturasi aktuator melebihi durasi yang ditetapkan. Kandidat yang gagal diberi penalti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s</m:t>
            </m:r>
          </m:sub>
        </m:sSub>
      </m:oMath>
      <w:r w:rsidRPr="005D51E1">
        <w:rPr>
          <w:rFonts w:ascii="Times New Roman" w:hAnsi="Times New Roman" w:cs="Times New Roman"/>
          <w:sz w:val="24"/>
          <w:szCs w:val="24"/>
        </w:rPr>
        <w:t xml:space="preserve"> pada Persamaan (2.7)</w:t>
      </w:r>
      <w:r w:rsidR="008059C0" w:rsidRPr="005D51E1">
        <w:rPr>
          <w:rFonts w:ascii="Times New Roman" w:eastAsia="Times New Roman" w:hAnsi="Times New Roman" w:cs="Times New Roman"/>
          <w:color w:val="000000" w:themeColor="text1"/>
          <w:sz w:val="24"/>
          <w:szCs w:val="24"/>
          <w:lang w:val="nb-NO"/>
        </w:rPr>
        <w:t>.</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14:paraId="7959206A" w14:textId="3A591663" w:rsidR="002A33EB" w:rsidRPr="005D51E1" w:rsidRDefault="002A33EB" w:rsidP="002A33EB">
      <w:pPr>
        <w:pStyle w:val="FirstParagraph"/>
        <w:spacing w:before="0" w:after="0"/>
        <w:ind w:firstLine="709"/>
        <w:rPr>
          <w:lang w:val="no"/>
        </w:rPr>
      </w:pPr>
      <w:r w:rsidRPr="005D51E1">
        <w:rPr>
          <w:lang w:val="no"/>
        </w:rPr>
        <w:t>Skenario disusun untuk merepresentasikan variasi besar, arah, dan pola perubahan beban. Kelompok gangguan mencakup:</w:t>
      </w:r>
    </w:p>
    <w:p w14:paraId="6B3D7AEA"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 xml:space="preserve">kenaikan beban </w:t>
      </w:r>
      <w:r w:rsidRPr="005D51E1">
        <w:rPr>
          <w:i/>
          <w:iCs/>
          <w:lang w:val="nb-NO"/>
        </w:rPr>
        <w:t>step</w:t>
      </w:r>
      <w:r w:rsidRPr="005D51E1">
        <w:rPr>
          <w:lang w:val="nb-NO"/>
        </w:rPr>
        <w:t xml:space="preserve"> sebesar 5%, 10%, 20%, dan 30%;</w:t>
      </w:r>
    </w:p>
    <w:p w14:paraId="30A15F51" w14:textId="77777777" w:rsidR="002A33EB" w:rsidRPr="005D51E1" w:rsidRDefault="002A33EB" w:rsidP="008531DB">
      <w:pPr>
        <w:pStyle w:val="Compact"/>
        <w:numPr>
          <w:ilvl w:val="0"/>
          <w:numId w:val="17"/>
        </w:numPr>
        <w:spacing w:before="0" w:after="0"/>
        <w:ind w:left="1134" w:hanging="425"/>
      </w:pPr>
      <w:r w:rsidRPr="005D51E1">
        <w:t xml:space="preserve">penurunan beban </w:t>
      </w:r>
      <w:r w:rsidRPr="005D51E1">
        <w:rPr>
          <w:i/>
          <w:iCs/>
        </w:rPr>
        <w:t>step</w:t>
      </w:r>
      <w:r w:rsidRPr="005D51E1">
        <w:t xml:space="preserve"> sebesar 5%, 10%, 20%, dan 30%;</w:t>
      </w:r>
    </w:p>
    <w:p w14:paraId="39D26717" w14:textId="77777777" w:rsidR="002A33EB" w:rsidRPr="005D51E1" w:rsidRDefault="002A33EB" w:rsidP="008531DB">
      <w:pPr>
        <w:pStyle w:val="Compact"/>
        <w:numPr>
          <w:ilvl w:val="0"/>
          <w:numId w:val="17"/>
        </w:numPr>
        <w:spacing w:before="0" w:after="0"/>
        <w:ind w:left="1134" w:hanging="425"/>
      </w:pPr>
      <w:r w:rsidRPr="005D51E1">
        <w:t>perubahan multi-</w:t>
      </w:r>
      <w:r w:rsidRPr="005D51E1">
        <w:rPr>
          <w:i/>
          <w:iCs/>
        </w:rPr>
        <w:t>step</w:t>
      </w:r>
      <w:r w:rsidRPr="005D51E1">
        <w:t xml:space="preserve"> dengan interval dan urutan berbeda; dan</w:t>
      </w:r>
    </w:p>
    <w:p w14:paraId="57C9ADD4"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variasi beban acak berpita dengan batas amplitudo dan laju perubahan yang ditetapkan.</w:t>
      </w:r>
    </w:p>
    <w:p w14:paraId="42610CF8" w14:textId="06BC99CD" w:rsidR="00513C74" w:rsidRPr="005D51E1" w:rsidRDefault="002A33EB" w:rsidP="002A33EB">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Kondisi awal, waktu kejadian, dan tingkat beban dasar divariasikan secara terkontrol. Replikasi dengan seed acak berbeda digunakan pada skenario stokastik. Skenario ekstrem yang melampaui kapasitas beban buangan dipisahkan sebagai uji batas dan tidak digunakan untuk menyimpulkan kinerja normal.</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14:paraId="7BF86FEF" w14:textId="00F5C39A" w:rsidR="00454FFF" w:rsidRPr="005D51E1" w:rsidRDefault="00454FFF" w:rsidP="00454FFF">
      <w:pPr>
        <w:pStyle w:val="FirstParagraph"/>
        <w:spacing w:before="0" w:after="0"/>
        <w:ind w:firstLine="709"/>
        <w:rPr>
          <w:lang w:val="nb-NO"/>
        </w:rPr>
      </w:pPr>
      <w:r w:rsidRPr="005D51E1">
        <w:rPr>
          <w:lang w:val="nb-NO"/>
        </w:rPr>
        <w:t xml:space="preserve">Untuk setiap skenario pelabelan, simulasi dijalankan pada kombinasi kandidat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lang w:val="nb-NO"/>
              </w:rPr>
              <m:t>,</m:t>
            </m:r>
            <m:sSub>
              <m:sSubPr>
                <m:ctrlPr>
                  <w:rPr>
                    <w:rFonts w:ascii="Cambria Math" w:hAnsi="Cambria Math"/>
                  </w:rPr>
                </m:ctrlPr>
              </m:sSubPr>
              <m:e>
                <m:r>
                  <w:rPr>
                    <w:rFonts w:ascii="Cambria Math" w:hAnsi="Cambria Math"/>
                  </w:rPr>
                  <m:t>K</m:t>
                </m:r>
              </m:e>
              <m:sub>
                <m:r>
                  <w:rPr>
                    <w:rFonts w:ascii="Cambria Math" w:hAnsi="Cambria Math"/>
                  </w:rPr>
                  <m:t>i</m:t>
                </m:r>
              </m:sub>
            </m:sSub>
          </m:e>
        </m:d>
      </m:oMath>
      <w:r w:rsidRPr="005D51E1">
        <w:rPr>
          <w:lang w:val="nb-NO"/>
        </w:rPr>
        <w:t xml:space="preserve"> dalam grid kasar. Kandidat terbaik dievaluasi kembali pada grid halus di sekitarnya. Nilai </w:t>
      </w:r>
      <m:oMath>
        <m:sSub>
          <m:sSubPr>
            <m:ctrlPr>
              <w:rPr>
                <w:rFonts w:ascii="Cambria Math" w:hAnsi="Cambria Math"/>
              </w:rPr>
            </m:ctrlPr>
          </m:sSubPr>
          <m:e>
            <m:r>
              <w:rPr>
                <w:rFonts w:ascii="Cambria Math" w:hAnsi="Cambria Math"/>
              </w:rPr>
              <m:t>J</m:t>
            </m:r>
          </m:e>
          <m:sub>
            <m:r>
              <w:rPr>
                <w:rFonts w:ascii="Cambria Math" w:hAnsi="Cambria Math"/>
              </w:rPr>
              <m:t>s</m:t>
            </m:r>
          </m:sub>
        </m:sSub>
      </m:oMath>
      <w:r w:rsidRPr="005D51E1">
        <w:rPr>
          <w:lang w:val="nb-NO"/>
        </w:rPr>
        <w:t xml:space="preserve"> dihitung menggunakan Persamaan (2.7), dan pasangan dengan nilai minimum disimpan sebagai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e>
        </m:d>
      </m:oMath>
      <w:r w:rsidRPr="005D51E1">
        <w:rPr>
          <w:lang w:val="nb-NO"/>
        </w:rPr>
        <w:t>.</w:t>
      </w:r>
    </w:p>
    <w:p w14:paraId="7AC0D5E9" w14:textId="6F5D9786" w:rsidR="00D152EF" w:rsidRPr="005D51E1" w:rsidRDefault="00454FFF" w:rsidP="00454FFF">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 xml:space="preserve">Jika beberapa kandidat memiliki nilai </w:t>
      </w:r>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s</m:t>
            </m:r>
          </m:sub>
        </m:sSub>
      </m:oMath>
      <w:r w:rsidRPr="005D51E1">
        <w:rPr>
          <w:rFonts w:ascii="Times New Roman" w:hAnsi="Times New Roman"/>
          <w:sz w:val="24"/>
          <w:szCs w:val="24"/>
        </w:rPr>
        <w:t xml:space="preserve"> yang hampir sama dalam toleransi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oMath>
      <w:r w:rsidRPr="005D51E1">
        <w:rPr>
          <w:rFonts w:ascii="Times New Roman" w:hAnsi="Times New Roman"/>
          <w:sz w:val="24"/>
          <w:szCs w:val="24"/>
        </w:rPr>
        <w:t>, dipilih pasangan dengan variasi gain terkecil terhadap skenario berdekatan atau dengan margin stabilitas lebih baik. Aturan ini ditetapkan sebelum pelabelan untuk mencegah pemilihan pascahasil. Analisis sensitivitas ukuran grid dilakukan pada sebagian skenario guna memastikan bahwa label tidak semata-mata ditentukan resolusi pencarian.</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14:paraId="7F4D9865" w14:textId="0262E9C8" w:rsidR="00BA7937" w:rsidRPr="005D51E1" w:rsidRDefault="00BA7937" w:rsidP="00771300">
      <w:pPr>
        <w:pStyle w:val="FirstParagraph"/>
        <w:spacing w:before="0" w:after="0"/>
        <w:ind w:firstLine="709"/>
        <w:rPr>
          <w:lang w:val="nb-NO"/>
        </w:rPr>
      </w:pPr>
      <w:r w:rsidRPr="005D51E1">
        <w:rPr>
          <w:lang w:val="nb-NO"/>
        </w:rPr>
        <w:t xml:space="preserve">Vektor fitur utama pada waktu </w:t>
      </w:r>
      <m:oMath>
        <m:r>
          <w:rPr>
            <w:rFonts w:ascii="Cambria Math" w:hAnsi="Cambria Math"/>
          </w:rPr>
          <m:t>t</m:t>
        </m:r>
      </m:oMath>
      <w:r w:rsidRPr="005D51E1">
        <w:rPr>
          <w:lang w:val="nb-NO"/>
        </w:rPr>
        <w:t xml:space="preserve"> didefinisikan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BFD231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5FF7BDE" w14:textId="77777777" w:rsidR="00BA7937" w:rsidRPr="005D51E1" w:rsidRDefault="00013305" w:rsidP="00771300">
            <w:pPr>
              <w:spacing w:after="0" w:line="360" w:lineRule="auto"/>
              <w:jc w:val="center"/>
            </w:pPr>
            <m:oMathPara>
              <m:oMathParaPr>
                <m:jc m:val="center"/>
              </m:oMathParaPr>
              <m:oMath>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Δf</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e>
                    </m:d>
                  </m:e>
                  <m:sup>
                    <m:r>
                      <w:rPr>
                        <w:rFonts w:ascii="Cambria Math" w:hAnsi="Cambria Math"/>
                      </w:rPr>
                      <m:t>T</m:t>
                    </m:r>
                  </m:sup>
                </m:s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53FCF35" w14:textId="77777777" w:rsidR="00BA7937" w:rsidRPr="005D51E1" w:rsidRDefault="00BA7937" w:rsidP="00771300">
            <w:pPr>
              <w:spacing w:after="0" w:line="360" w:lineRule="auto"/>
              <w:jc w:val="right"/>
            </w:pPr>
            <w:r w:rsidRPr="005D51E1">
              <w:rPr>
                <w:rFonts w:ascii="Times New Roman" w:hAnsi="Times New Roman"/>
              </w:rPr>
              <w:t>(3.1)</w:t>
            </w:r>
          </w:p>
        </w:tc>
      </w:tr>
    </w:tbl>
    <w:p w14:paraId="2938B095" w14:textId="77777777" w:rsidR="00BA7937" w:rsidRPr="005D51E1" w:rsidRDefault="00BA7937" w:rsidP="00771300">
      <w:pPr>
        <w:pStyle w:val="FirstParagraph"/>
        <w:spacing w:before="0" w:after="0"/>
        <w:ind w:firstLine="709"/>
        <w:rPr>
          <w:lang w:val="nb-NO"/>
        </w:rPr>
      </w:pPr>
      <w:r w:rsidRPr="005D51E1">
        <w:rPr>
          <w:lang w:val="nb-NO"/>
        </w:rPr>
        <w:lastRenderedPageBreak/>
        <w:t xml:space="preserve">Variabel pada Persamaan (3.1) konsisten dengan keseimbangan daya pada Persamaan (2.2). Daya mekanik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tidak dimasukkan dalam fitur utama karena posisinya sebagai masukan mekanik pada Persamaan (2.1) dan keterukurannya dapat berbeda pada implementasi fisik.</w:t>
      </w:r>
    </w:p>
    <w:p w14:paraId="7EDAFB93" w14:textId="77777777" w:rsidR="00BA7937" w:rsidRPr="005D51E1" w:rsidRDefault="00BA7937" w:rsidP="00771300">
      <w:pPr>
        <w:pStyle w:val="BodyText"/>
        <w:spacing w:before="0" w:after="0"/>
        <w:ind w:firstLine="709"/>
        <w:rPr>
          <w:lang w:val="nb-NO"/>
        </w:rPr>
      </w:pPr>
      <w:r w:rsidRPr="005D51E1">
        <w:rPr>
          <w:lang w:val="nb-NO"/>
        </w:rPr>
        <w:t xml:space="preserve">Untuk analisis sensitivitas,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dapat ditambahkan sebagai fitur keadaan simulasi. Hasil model utama dan model dengan fitur tambahan dilaporkan terpisah agar kebutuhan pengukuran pada implementasi tetap jelas.</w:t>
      </w:r>
    </w:p>
    <w:p w14:paraId="31F22021" w14:textId="77777777" w:rsidR="00BA7937" w:rsidRPr="005D51E1" w:rsidRDefault="00BA7937" w:rsidP="00771300">
      <w:pPr>
        <w:pStyle w:val="BodyText"/>
        <w:spacing w:before="0" w:after="0"/>
        <w:ind w:firstLine="709"/>
        <w:rPr>
          <w:lang w:val="nb-NO"/>
        </w:rPr>
      </w:pPr>
      <w:r w:rsidRPr="005D51E1">
        <w:rPr>
          <w:lang w:val="nb-NO"/>
        </w:rPr>
        <w:t xml:space="preserve">Jendela sekuensial sepanjang </w:t>
      </w:r>
      <m:oMath>
        <m:r>
          <w:rPr>
            <w:rFonts w:ascii="Cambria Math" w:hAnsi="Cambria Math"/>
          </w:rPr>
          <m:t>L</m:t>
        </m:r>
      </m:oMath>
      <w:r w:rsidRPr="005D51E1">
        <w:rPr>
          <w:lang w:val="nb-NO"/>
        </w:rPr>
        <w:t xml:space="preserve"> sampel adalah:</w:t>
      </w:r>
    </w:p>
    <w:tbl>
      <w:tblPr>
        <w:tblStyle w:val="Table"/>
        <w:tblW w:w="9639" w:type="dxa"/>
        <w:tblLayout w:type="fixed"/>
        <w:tblLook w:val="04A0" w:firstRow="1" w:lastRow="0" w:firstColumn="1" w:lastColumn="0" w:noHBand="0" w:noVBand="1"/>
      </w:tblPr>
      <w:tblGrid>
        <w:gridCol w:w="6917"/>
        <w:gridCol w:w="2722"/>
      </w:tblGrid>
      <w:tr w:rsidR="00BA7937" w:rsidRPr="005D51E1" w14:paraId="42BB2DBF" w14:textId="77777777" w:rsidTr="0068238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975A43E"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12AD1B0" w14:textId="77777777" w:rsidR="00BA7937" w:rsidRPr="005D51E1" w:rsidRDefault="00BA7937" w:rsidP="00771300">
            <w:pPr>
              <w:spacing w:after="0" w:line="360" w:lineRule="auto"/>
              <w:jc w:val="right"/>
            </w:pPr>
            <w:r w:rsidRPr="005D51E1">
              <w:rPr>
                <w:rFonts w:ascii="Times New Roman" w:hAnsi="Times New Roman"/>
              </w:rPr>
              <w:t>(3.2)</w:t>
            </w:r>
          </w:p>
        </w:tc>
      </w:tr>
    </w:tbl>
    <w:p w14:paraId="21D6C5F1" w14:textId="77777777" w:rsidR="00BA7937" w:rsidRPr="005D51E1" w:rsidRDefault="00BA7937" w:rsidP="00771300">
      <w:pPr>
        <w:pStyle w:val="FirstParagraph"/>
        <w:spacing w:before="0" w:after="0"/>
        <w:ind w:firstLine="709"/>
        <w:rPr>
          <w:lang w:val="no"/>
        </w:rPr>
      </w:pPr>
      <w:r w:rsidRPr="005D51E1">
        <w:rPr>
          <w:lang w:val="no"/>
        </w:rPr>
        <w:t>Persamaan (3.2) mengubah vektor keadaan pada Persamaan (3.1) menjadi masukan temporal sebagaimana dibutuhkan oleh LSTM pada Persamaan (2.9)–(2.13) dan QLSTM pada Persamaan (2.17)–(2.18).</w:t>
      </w:r>
    </w:p>
    <w:p w14:paraId="477461F4" w14:textId="77777777" w:rsidR="00BA7937" w:rsidRPr="005D51E1" w:rsidRDefault="00BA7937" w:rsidP="00771300">
      <w:pPr>
        <w:pStyle w:val="BodyText"/>
        <w:spacing w:before="0" w:after="0"/>
        <w:ind w:firstLine="709"/>
      </w:pPr>
      <w:r w:rsidRPr="005D51E1">
        <w:t>Dataset berlabel dinyatakan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F88500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487457B" w14:textId="77777777" w:rsidR="00BA7937" w:rsidRPr="005D51E1" w:rsidRDefault="00013305" w:rsidP="00771300">
            <w:pPr>
              <w:spacing w:after="0" w:line="360" w:lineRule="auto"/>
              <w:jc w:val="center"/>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rPr>
                          <m:t>,</m:t>
                        </m:r>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sSubSup>
                  </m:e>
                </m:d>
                <m:sSubSup>
                  <m:sSubSupPr>
                    <m:ctrlPr>
                      <w:rPr>
                        <w:rFonts w:ascii="Cambria Math" w:hAnsi="Cambria Math"/>
                      </w:rPr>
                    </m:ctrlPr>
                  </m:sSubSupPr>
                  <m:e>
                    <m:r>
                      <m:rPr>
                        <m:sty m:val="p"/>
                      </m:rPr>
                      <w:rPr>
                        <w:rFonts w:ascii="Cambria Math" w:hAnsi="Cambria Math"/>
                      </w:rPr>
                      <m:t>}</m:t>
                    </m:r>
                  </m:e>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44814D89" w14:textId="77777777" w:rsidR="00BA7937" w:rsidRPr="005D51E1" w:rsidRDefault="00BA7937" w:rsidP="00771300">
            <w:pPr>
              <w:spacing w:after="0" w:line="360" w:lineRule="auto"/>
              <w:jc w:val="right"/>
            </w:pPr>
            <w:r w:rsidRPr="005D51E1">
              <w:rPr>
                <w:rFonts w:ascii="Times New Roman" w:hAnsi="Times New Roman"/>
              </w:rPr>
              <w:t>(3.3)</w:t>
            </w:r>
          </w:p>
        </w:tc>
      </w:tr>
    </w:tbl>
    <w:p w14:paraId="1B739695" w14:textId="77777777" w:rsidR="00BA7937" w:rsidRPr="005D51E1" w:rsidRDefault="00BA7937" w:rsidP="00771300">
      <w:pPr>
        <w:pStyle w:val="FirstParagraph"/>
        <w:spacing w:before="0" w:after="0"/>
        <w:ind w:firstLine="709"/>
        <w:rPr>
          <w:lang w:val="nb-NO"/>
        </w:rPr>
      </w:pPr>
      <w:r w:rsidRPr="005D51E1">
        <w:rPr>
          <w:lang w:val="nb-NO"/>
        </w:rPr>
        <w:t>Target dalam Persamaan (3.3) diperoleh menggunakan aturan minimisasi pada Persamaan (2.6), bukan dihasilkan langsung oleh QLSTM. Pemisahan ini membedakan tahap pembentukan label dari tahap pelatihan model.</w:t>
      </w:r>
    </w:p>
    <w:p w14:paraId="3C648AC6" w14:textId="77777777" w:rsidR="00BA7937" w:rsidRPr="005D51E1" w:rsidRDefault="00BA7937" w:rsidP="00771300">
      <w:pPr>
        <w:pStyle w:val="BodyText"/>
        <w:spacing w:before="0" w:after="0"/>
        <w:ind w:firstLine="709"/>
        <w:rPr>
          <w:lang w:val="nb-NO"/>
        </w:rPr>
      </w:pPr>
      <w:r w:rsidRPr="005D51E1">
        <w:rPr>
          <w:lang w:val="nb-NO"/>
        </w:rPr>
        <w:t>Normalisasi dihitung hanya dari data latih:</w:t>
      </w:r>
    </w:p>
    <w:tbl>
      <w:tblPr>
        <w:tblStyle w:val="Table"/>
        <w:tblW w:w="9639" w:type="dxa"/>
        <w:tblLayout w:type="fixed"/>
        <w:tblLook w:val="04A0" w:firstRow="1" w:lastRow="0" w:firstColumn="1" w:lastColumn="0" w:noHBand="0" w:noVBand="1"/>
      </w:tblPr>
      <w:tblGrid>
        <w:gridCol w:w="6917"/>
        <w:gridCol w:w="2722"/>
      </w:tblGrid>
      <w:tr w:rsidR="00BA7937" w:rsidRPr="005D51E1" w14:paraId="32668B72"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6046D07" w14:textId="77777777" w:rsidR="00BA7937" w:rsidRPr="005D51E1" w:rsidRDefault="00013305" w:rsidP="00771300">
            <w:pPr>
              <w:spacing w:after="0" w:line="360" w:lineRule="auto"/>
              <w:jc w:val="cente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train</m:t>
                        </m:r>
                      </m:sub>
                    </m:sSub>
                  </m:num>
                  <m:den>
                    <m:sSub>
                      <m:sSubPr>
                        <m:ctrlPr>
                          <w:rPr>
                            <w:rFonts w:ascii="Cambria Math" w:hAnsi="Cambria Math"/>
                          </w:rPr>
                        </m:ctrlPr>
                      </m:sSubPr>
                      <m:e>
                        <m:r>
                          <w:rPr>
                            <w:rFonts w:ascii="Cambria Math" w:hAnsi="Cambria Math"/>
                          </w:rPr>
                          <m:t>σ</m:t>
                        </m:r>
                      </m:e>
                      <m:sub>
                        <m:r>
                          <w:rPr>
                            <w:rFonts w:ascii="Cambria Math" w:hAnsi="Cambria Math"/>
                          </w:rPr>
                          <m:t>j</m:t>
                        </m:r>
                        <m:r>
                          <m:rPr>
                            <m:sty m:val="p"/>
                          </m:rPr>
                          <w:rPr>
                            <w:rFonts w:ascii="Cambria Math" w:hAnsi="Cambria Math"/>
                          </w:rPr>
                          <m:t>,</m:t>
                        </m:r>
                        <m:r>
                          <w:rPr>
                            <w:rFonts w:ascii="Cambria Math" w:hAnsi="Cambria Math"/>
                          </w:rPr>
                          <m:t>train</m:t>
                        </m:r>
                      </m:sub>
                    </m:sSub>
                  </m:den>
                </m:f>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2D78DC4" w14:textId="77777777" w:rsidR="00BA7937" w:rsidRPr="005D51E1" w:rsidRDefault="00BA7937" w:rsidP="00771300">
            <w:pPr>
              <w:spacing w:after="0" w:line="360" w:lineRule="auto"/>
              <w:jc w:val="right"/>
            </w:pPr>
            <w:r w:rsidRPr="005D51E1">
              <w:rPr>
                <w:rFonts w:ascii="Times New Roman" w:hAnsi="Times New Roman"/>
              </w:rPr>
              <w:t>(3.4)</w:t>
            </w:r>
          </w:p>
        </w:tc>
      </w:tr>
    </w:tbl>
    <w:p w14:paraId="10CCBF02" w14:textId="77777777" w:rsidR="00DB7A74" w:rsidRPr="005D51E1" w:rsidRDefault="00BA7937" w:rsidP="00DB7A74">
      <w:pPr>
        <w:pStyle w:val="FirstParagraph"/>
        <w:spacing w:before="0" w:after="0"/>
        <w:rPr>
          <w:lang w:val="nb-NO"/>
        </w:rPr>
      </w:pPr>
      <w:r w:rsidRPr="005D51E1">
        <w:rPr>
          <w:lang w:val="nb-NO"/>
        </w:rPr>
        <w:t xml:space="preserve">Persamaan (3.4) </w:t>
      </w:r>
      <w:r w:rsidR="00DB7A74" w:rsidRPr="005D51E1">
        <w:rPr>
          <w:lang w:val="nb-NO"/>
        </w:rPr>
        <w:t>diterapkan setelah pembagian skenario dan hanya menggunakan statistik data latih. Urutan ini diperlukan agar data validasi dan uji tidak memengaruhi parameter prapengolahan.</w:t>
      </w:r>
    </w:p>
    <w:p w14:paraId="19C86959" w14:textId="77777777" w:rsidR="00DB7A74" w:rsidRPr="005D51E1" w:rsidRDefault="00DB7A74" w:rsidP="00DB7A74">
      <w:pPr>
        <w:pStyle w:val="BodyText"/>
        <w:spacing w:before="0" w:after="0"/>
        <w:rPr>
          <w:lang w:val="nb-NO"/>
        </w:rPr>
      </w:pPr>
      <w:r w:rsidRPr="005D51E1">
        <w:rPr>
          <w:lang w:val="nb-NO"/>
        </w:rPr>
        <w:t>Parameter normalisasi yang sama diterapkan pada data validasi dan uji. Penyaringan derau hanya digunakan jika karakteristik dan frekuensi potongnya ditetapkan; penyaringan tidak boleh menggunakan informasi masa depan pada penerapan kausal.</w:t>
      </w:r>
    </w:p>
    <w:p w14:paraId="3C65428E" w14:textId="763D15ED" w:rsidR="00BA7937" w:rsidRPr="005D51E1" w:rsidRDefault="0068238E" w:rsidP="00DB7A74">
      <w:pPr>
        <w:pStyle w:val="FirstParagraph"/>
        <w:spacing w:before="0" w:after="0"/>
        <w:ind w:firstLine="709"/>
        <w:rPr>
          <w:lang w:val="nb-NO"/>
        </w:rPr>
      </w:pPr>
      <w:sdt>
        <w:sdtPr>
          <w:rPr>
            <w:rFonts w:cs="Times New Roman"/>
            <w:color w:val="000000"/>
            <w:lang w:val="nb-NO"/>
          </w:rPr>
          <w:tag w:val="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
          <w:id w:val="436721111"/>
          <w:placeholder>
            <w:docPart w:val="DefaultPlaceholder_-1854013440"/>
          </w:placeholder>
        </w:sdtPr>
        <w:sdtContent>
          <w:r w:rsidR="00F2092E" w:rsidRPr="00F2092E">
            <w:rPr>
              <w:rFonts w:cs="Times New Roman"/>
              <w:color w:val="000000"/>
              <w:lang w:val="nb-NO"/>
            </w:rPr>
            <w:t>Bergmeir et al. (2018)</w:t>
          </w:r>
        </w:sdtContent>
      </w:sdt>
      <w:r w:rsidR="00DB7A74" w:rsidRPr="005D51E1">
        <w:rPr>
          <w:lang w:val="nb-NO"/>
        </w:rPr>
        <w:t xml:space="preserve"> menempatkan struktur ketergantungan waktu sebagai pertimbangan utama dalam validasi model deret waktu. Untuk mencegah satu trajektori atau skenario muncul pada lebih dari satu kelompok data, dataset dibagi berdasarkan identitas skenario</w:t>
      </w:r>
      <w:r w:rsidR="00BA7937" w:rsidRPr="005D51E1">
        <w:rPr>
          <w:lang w:val="nb-NO"/>
        </w:rPr>
        <w:t>:</w:t>
      </w:r>
    </w:p>
    <w:tbl>
      <w:tblPr>
        <w:tblStyle w:val="Table"/>
        <w:tblW w:w="9639" w:type="dxa"/>
        <w:tblLayout w:type="fixed"/>
        <w:tblLook w:val="04A0" w:firstRow="1" w:lastRow="0" w:firstColumn="1" w:lastColumn="0" w:noHBand="0" w:noVBand="1"/>
      </w:tblPr>
      <w:tblGrid>
        <w:gridCol w:w="6917"/>
        <w:gridCol w:w="2722"/>
      </w:tblGrid>
      <w:tr w:rsidR="00BA7937" w:rsidRPr="005D51E1" w14:paraId="47CAEA3D"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FD83678"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4AE8FAE" w14:textId="77777777" w:rsidR="00BA7937" w:rsidRPr="005D51E1" w:rsidRDefault="00BA7937" w:rsidP="00771300">
            <w:pPr>
              <w:spacing w:after="0" w:line="360" w:lineRule="auto"/>
              <w:jc w:val="right"/>
            </w:pPr>
            <w:r w:rsidRPr="005D51E1">
              <w:rPr>
                <w:rFonts w:ascii="Times New Roman" w:hAnsi="Times New Roman"/>
              </w:rPr>
              <w:t>(3.5)</w:t>
            </w:r>
          </w:p>
        </w:tc>
      </w:tr>
    </w:tbl>
    <w:p w14:paraId="4E8912CE" w14:textId="77777777" w:rsidR="00BA7937" w:rsidRPr="005D51E1" w:rsidRDefault="00BA7937" w:rsidP="00771300">
      <w:pPr>
        <w:pStyle w:val="FirstParagraph"/>
        <w:spacing w:before="0" w:after="0"/>
        <w:ind w:firstLine="709"/>
        <w:rPr>
          <w:lang w:val="nb-NO"/>
        </w:rPr>
      </w:pPr>
      <w:r w:rsidRPr="005D51E1">
        <w:rPr>
          <w:lang w:val="nb-NO"/>
        </w:rPr>
        <w:t>Syarat pada Persamaan (3.5) memastikan bahwa satu skenario tidak muncul pada lebih dari satu kelompok data. Dengan demikian, evaluasi pada Subbab 3.10 mengukur generalisasi antarskenario, bukan pengenalan ulang sampel temporal yang berdekatan.</w:t>
      </w:r>
    </w:p>
    <w:p w14:paraId="1637A8F4" w14:textId="16E4BAF8" w:rsidR="00CF66C6" w:rsidRPr="005D51E1" w:rsidRDefault="00BA7937" w:rsidP="00771300">
      <w:pPr>
        <w:pStyle w:val="BodyText"/>
        <w:spacing w:before="0" w:after="0"/>
        <w:ind w:firstLine="709"/>
        <w:rPr>
          <w:lang w:val="nb-NO"/>
        </w:rPr>
      </w:pPr>
      <w:r w:rsidRPr="005D51E1">
        <w:rPr>
          <w:lang w:val="nb-NO"/>
        </w:rPr>
        <w:lastRenderedPageBreak/>
        <w:t>Proporsi awal 70%:15%:15% diterapkan pada jumlah skenario, bukan pada sampel waktu yang diacak. Variasi gangguan tertentu dan kombinasi waktu kejadian ditahan khusus untuk pengujian generalisasi.</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14:paraId="1AE5312C" w14:textId="2310BE89" w:rsidR="00C1346B" w:rsidRPr="005D51E1" w:rsidRDefault="00C1346B" w:rsidP="00771300">
      <w:pPr>
        <w:pStyle w:val="FirstParagraph"/>
        <w:spacing w:before="0" w:after="0"/>
        <w:ind w:firstLine="709"/>
        <w:rPr>
          <w:rFonts w:cs="Times New Roman"/>
          <w:lang w:val="nb-NO"/>
        </w:rPr>
      </w:pPr>
      <w:r w:rsidRPr="005D51E1">
        <w:rPr>
          <w:rFonts w:cs="Times New Roman"/>
          <w:lang w:val="nb-NO"/>
        </w:rPr>
        <w:t>LSTM dan QLSTM menerima fitur, panjang jendela, serta target yang sama. Kepala regresi dan batas keluaran dibuat setara. Kapasitas model dilaporkan melalui jumlah parameter yang dapat dilatih, jumlah qubit, kedalaman VQC, dan jumlah evaluasi rangkaian. Hiperparameter dipilih menggunakan data validasi tanpa mengakses data uji.</w:t>
      </w:r>
    </w:p>
    <w:p w14:paraId="11268080" w14:textId="546A430B" w:rsidR="000D5070" w:rsidRPr="005D51E1" w:rsidRDefault="00C1346B"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Model dilatih untuk meminimalkan Persamaan (2.21). </w:t>
      </w:r>
      <w:r w:rsidRPr="005D51E1">
        <w:rPr>
          <w:rFonts w:ascii="Times New Roman" w:hAnsi="Times New Roman" w:cs="Times New Roman"/>
          <w:i/>
          <w:iCs/>
          <w:sz w:val="24"/>
          <w:szCs w:val="24"/>
        </w:rPr>
        <w:t>Early stopping</w:t>
      </w:r>
      <w:r w:rsidRPr="005D51E1">
        <w:rPr>
          <w:rFonts w:ascii="Times New Roman" w:hAnsi="Times New Roman" w:cs="Times New Roman"/>
          <w:sz w:val="24"/>
          <w:szCs w:val="24"/>
        </w:rPr>
        <w:t xml:space="preserve"> digunakan berdasarkan rugi validasi, dan bobot model terbaik disimpan. Setiap konfigurasi dilatih pada beberapa seed untuk mengukur variasi proses pelatihan. Metrik estimasi gain meliputi MAE dan RMSE untuk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Pr="005D51E1">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Pr="005D51E1">
        <w:rPr>
          <w:rFonts w:ascii="Times New Roman" w:hAnsi="Times New Roman" w:cs="Times New Roman"/>
          <w:sz w:val="24"/>
          <w:szCs w:val="24"/>
        </w:rPr>
        <w:t xml:space="preserve">, tetapi keberhasilan akhir ditentukan oleh kinerja </w:t>
      </w:r>
      <w:r w:rsidRPr="005D51E1">
        <w:rPr>
          <w:rFonts w:ascii="Times New Roman" w:hAnsi="Times New Roman" w:cs="Times New Roman"/>
          <w:i/>
          <w:iCs/>
          <w:sz w:val="24"/>
          <w:szCs w:val="24"/>
        </w:rPr>
        <w:t>closed-loop</w:t>
      </w:r>
      <w:r w:rsidRPr="005D51E1">
        <w:rPr>
          <w:rFonts w:ascii="Times New Roman" w:hAnsi="Times New Roman" w:cs="Times New Roman"/>
          <w:sz w:val="24"/>
          <w:szCs w:val="24"/>
        </w:rPr>
        <w:t>, bukan hanya galat regresi.</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14:paraId="19C1AE74" w14:textId="7F36CA3C" w:rsidR="00DD624E" w:rsidRPr="005D51E1" w:rsidRDefault="00DD624E" w:rsidP="00771300">
      <w:pPr>
        <w:pStyle w:val="FirstParagraph"/>
        <w:spacing w:before="0" w:after="0"/>
        <w:ind w:firstLine="709"/>
        <w:rPr>
          <w:rFonts w:cs="Times New Roman"/>
          <w:lang w:val="nb-NO"/>
        </w:rPr>
      </w:pPr>
      <w:r w:rsidRPr="005D51E1">
        <w:rPr>
          <w:rFonts w:cs="Times New Roman"/>
          <w:lang w:val="nb-NO"/>
        </w:rPr>
        <w:t xml:space="preserve">Pada setiap interval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5D51E1">
        <w:rPr>
          <w:rFonts w:cs="Times New Roman"/>
          <w:lang w:val="nb-NO"/>
        </w:rPr>
        <w:t xml:space="preserve">, jendela terbaru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oMath>
      <w:r w:rsidRPr="005D51E1">
        <w:rPr>
          <w:rFonts w:cs="Times New Roman"/>
          <w:lang w:val="nb-NO"/>
        </w:rPr>
        <w:t xml:space="preserve"> diberikan kepada model. Keluaran dipetakan ke rentang gain melalui Persamaan (2.19)–(2.20), kemudian dihaluskan melalui Persamaan (2.22)–(2.23). PI berjalan pada periode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oMath>
      <w:r w:rsidRPr="005D51E1">
        <w:rPr>
          <w:rFonts w:cs="Times New Roman"/>
          <w:lang w:val="nb-NO"/>
        </w:rPr>
        <w:t xml:space="preserve"> yang lebih cepat. Selama dua pembaruan supervisori, gain dipertahankan pada nilai terakhir.</w:t>
      </w:r>
    </w:p>
    <w:p w14:paraId="4F0837B7" w14:textId="78A9C068" w:rsidR="00C1346B" w:rsidRPr="005D51E1" w:rsidRDefault="00DD624E" w:rsidP="00771300">
      <w:pPr>
        <w:pStyle w:val="BodyText"/>
        <w:spacing w:before="0" w:after="0"/>
        <w:ind w:firstLine="709"/>
        <w:rPr>
          <w:rFonts w:cs="Times New Roman"/>
        </w:rPr>
      </w:pPr>
      <w:r w:rsidRPr="005D51E1">
        <w:rPr>
          <w:rFonts w:cs="Times New Roman"/>
          <w:lang w:val="nb-NO"/>
        </w:rPr>
        <w:t xml:space="preserve">Pemeriksaan validitas mencakup nilai bukan-NaN, batas gain, dan laju perubahan maksimum. Jika pemeriksaan gagal, sistem beralih ke gain baseline. Integral PI menggunakan </w:t>
      </w:r>
      <w:r w:rsidRPr="005D51E1">
        <w:rPr>
          <w:rFonts w:cs="Times New Roman"/>
          <w:i/>
          <w:iCs/>
          <w:lang w:val="nb-NO"/>
        </w:rPr>
        <w:t>anti-windup</w:t>
      </w:r>
      <w:r w:rsidRPr="005D51E1">
        <w:rPr>
          <w:rFonts w:cs="Times New Roman"/>
          <w:lang w:val="nb-NO"/>
        </w:rPr>
        <w:t xml:space="preserve"> ketika rasio kerja ELC mencapai batas. </w:t>
      </w:r>
      <w:r w:rsidRPr="005D51E1">
        <w:rPr>
          <w:rFonts w:cs="Times New Roman"/>
        </w:rPr>
        <w:t>Semua kejadian saturasi, fallback, serta perubahan gain direkam untuk dianalisis.</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14:paraId="34FEA586" w14:textId="1E4936C7" w:rsidR="00D92408" w:rsidRPr="005D51E1" w:rsidRDefault="00D92408" w:rsidP="00771300">
      <w:pPr>
        <w:pStyle w:val="FirstParagraph"/>
        <w:spacing w:before="0" w:after="0"/>
        <w:ind w:firstLine="709"/>
        <w:rPr>
          <w:rFonts w:cs="Times New Roman"/>
        </w:rPr>
      </w:pPr>
      <w:r w:rsidRPr="005D51E1">
        <w:rPr>
          <w:rFonts w:cs="Times New Roman"/>
          <w:lang w:val="no"/>
        </w:rPr>
        <w:t xml:space="preserve">Analisis dilakukan pada tiga tingkat. Pertama, mutu estimasi gain diukur dengan MAE dan RMSE terhadap label pada data uji. </w:t>
      </w:r>
      <w:r w:rsidRPr="005D51E1">
        <w:rPr>
          <w:rFonts w:cs="Times New Roman"/>
        </w:rPr>
        <w:t xml:space="preserve">Kedua, respons </w:t>
      </w:r>
      <w:r w:rsidRPr="005D51E1">
        <w:rPr>
          <w:rFonts w:cs="Times New Roman"/>
          <w:i/>
          <w:iCs/>
        </w:rPr>
        <w:t>closed-loop</w:t>
      </w:r>
      <w:r w:rsidRPr="005D51E1">
        <w:rPr>
          <w:rFonts w:cs="Times New Roman"/>
        </w:rPr>
        <w:t xml:space="preserve"> dianalisis menggunakan IAE, ITAE,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5D51E1">
        <w:rPr>
          <w:rFonts w:cs="Times New Roman"/>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5D51E1">
        <w:rPr>
          <w:rFonts w:cs="Times New Roman"/>
        </w:rPr>
        <w:t>. Ketiga, beban komputasi dievaluasi melalui waktu inferensi, jumlah parameter, dan sumber daya simulasi.</w:t>
      </w:r>
    </w:p>
    <w:p w14:paraId="2820D0AF" w14:textId="77777777" w:rsidR="00D92408" w:rsidRPr="005D51E1" w:rsidRDefault="00D92408" w:rsidP="00771300">
      <w:pPr>
        <w:pStyle w:val="BodyText"/>
        <w:spacing w:before="0" w:after="0"/>
        <w:ind w:firstLine="709"/>
        <w:rPr>
          <w:rFonts w:cs="Times New Roman"/>
        </w:rPr>
      </w:pPr>
      <w:r w:rsidRPr="005D51E1">
        <w:rPr>
          <w:rFonts w:cs="Times New Roman"/>
        </w:rPr>
        <w:t xml:space="preserve">Untuk setiap skenario uji </w:t>
      </w:r>
      <m:oMath>
        <m:r>
          <w:rPr>
            <w:rFonts w:ascii="Cambria Math" w:hAnsi="Cambria Math" w:cs="Times New Roman"/>
          </w:rPr>
          <m:t>s</m:t>
        </m:r>
      </m:oMath>
      <w:r w:rsidRPr="005D51E1">
        <w:rPr>
          <w:rFonts w:cs="Times New Roman"/>
        </w:rPr>
        <w:t>, diperoleh pasangan hasil:</w:t>
      </w:r>
    </w:p>
    <w:tbl>
      <w:tblPr>
        <w:tblStyle w:val="Table"/>
        <w:tblW w:w="9639" w:type="dxa"/>
        <w:tblLayout w:type="fixed"/>
        <w:tblLook w:val="04A0" w:firstRow="1" w:lastRow="0" w:firstColumn="1" w:lastColumn="0" w:noHBand="0" w:noVBand="1"/>
      </w:tblPr>
      <w:tblGrid>
        <w:gridCol w:w="6917"/>
        <w:gridCol w:w="2722"/>
      </w:tblGrid>
      <w:tr w:rsidR="00771300" w:rsidRPr="005D51E1" w14:paraId="27D2BA38"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F6E56F3" w14:textId="77777777" w:rsidR="00771300" w:rsidRPr="005D51E1" w:rsidRDefault="00000000" w:rsidP="00771300">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QLSTM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70A790D" w14:textId="77777777" w:rsidR="00771300" w:rsidRPr="005D51E1" w:rsidRDefault="00771300" w:rsidP="00771300">
            <w:pPr>
              <w:spacing w:after="0" w:line="360" w:lineRule="auto"/>
              <w:jc w:val="right"/>
              <w:rPr>
                <w:rFonts w:ascii="Times New Roman" w:hAnsi="Times New Roman" w:cs="Times New Roman"/>
              </w:rPr>
            </w:pPr>
            <w:r w:rsidRPr="005D51E1">
              <w:rPr>
                <w:rFonts w:ascii="Times New Roman" w:hAnsi="Times New Roman" w:cs="Times New Roman"/>
              </w:rPr>
              <w:t>(3.6)</w:t>
            </w:r>
          </w:p>
        </w:tc>
      </w:tr>
    </w:tbl>
    <w:p w14:paraId="5A3ECFA8" w14:textId="77777777" w:rsidR="00D92408" w:rsidRPr="005D51E1" w:rsidRDefault="00D92408" w:rsidP="00771300">
      <w:pPr>
        <w:pStyle w:val="FirstParagraph"/>
        <w:spacing w:before="0" w:after="0"/>
        <w:ind w:firstLine="709"/>
        <w:rPr>
          <w:rFonts w:cs="Times New Roman"/>
          <w:lang w:val="nb-NO"/>
        </w:rPr>
      </w:pPr>
      <w:r w:rsidRPr="005D51E1">
        <w:rPr>
          <w:rFonts w:cs="Times New Roman"/>
          <w:lang w:val="nb-NO"/>
        </w:rPr>
        <w:lastRenderedPageBreak/>
        <w:t xml:space="preserve">Persamaan (3.6) membentuk data berpasangan untuk pengujian hipotesis pada Persamaan (2.28) dan (2.29). Nilai </w:t>
      </w:r>
      <m:oMath>
        <m:r>
          <w:rPr>
            <w:rFonts w:ascii="Cambria Math" w:hAnsi="Cambria Math" w:cs="Times New Roman"/>
          </w:rPr>
          <m:t>M</m:t>
        </m:r>
      </m:oMath>
      <w:r w:rsidRPr="005D51E1">
        <w:rPr>
          <w:rFonts w:cs="Times New Roman"/>
          <w:lang w:val="nb-NO"/>
        </w:rPr>
        <w:t xml:space="preserve"> dihitung dengan definisi indikator pada Persamaan (2.24)–(2.26), kemudian peningkatannya dihitung menggunakan Persamaan (2.27).</w:t>
      </w:r>
    </w:p>
    <w:p w14:paraId="36B14DA7" w14:textId="77777777" w:rsidR="00D92408" w:rsidRPr="005D51E1" w:rsidRDefault="00D92408" w:rsidP="00771300">
      <w:pPr>
        <w:pStyle w:val="BodyText"/>
        <w:spacing w:before="0" w:after="0"/>
        <w:ind w:firstLine="709"/>
        <w:rPr>
          <w:rFonts w:cs="Times New Roman"/>
          <w:lang w:val="nb-NO"/>
        </w:rPr>
      </w:pPr>
      <w:r w:rsidRPr="005D51E1">
        <w:rPr>
          <w:rFonts w:cs="Times New Roman"/>
          <w:lang w:val="nb-NO"/>
        </w:rPr>
        <w:t xml:space="preserve">Persentase peningkatan dihitung dengan Persamaan (2.27). Distribusi selisih antar-metode diperiksa; </w:t>
      </w:r>
      <w:r w:rsidRPr="005D51E1">
        <w:rPr>
          <w:rFonts w:cs="Times New Roman"/>
          <w:i/>
          <w:iCs/>
          <w:lang w:val="nb-NO"/>
        </w:rPr>
        <w:t>paired t-test</w:t>
      </w:r>
      <w:r w:rsidRPr="005D51E1">
        <w:rPr>
          <w:rFonts w:cs="Times New Roman"/>
          <w:lang w:val="nb-NO"/>
        </w:rPr>
        <w:t xml:space="preserve"> atau Wilcoxon digunakan sesuai asumsi. Batas signifikansi ditetapkan pada </w:t>
      </w:r>
      <m:oMath>
        <m:r>
          <w:rPr>
            <w:rFonts w:ascii="Cambria Math" w:hAnsi="Cambria Math" w:cs="Times New Roman"/>
          </w:rPr>
          <m:t>α</m:t>
        </m:r>
        <m:r>
          <m:rPr>
            <m:sty m:val="p"/>
          </m:rPr>
          <w:rPr>
            <w:rFonts w:ascii="Cambria Math" w:hAnsi="Cambria Math" w:cs="Times New Roman"/>
            <w:lang w:val="nb-NO"/>
          </w:rPr>
          <m:t>=</m:t>
        </m:r>
        <m:r>
          <w:rPr>
            <w:rFonts w:ascii="Cambria Math" w:hAnsi="Cambria Math" w:cs="Times New Roman"/>
            <w:lang w:val="nb-NO"/>
          </w:rPr>
          <m:t>0</m:t>
        </m:r>
        <m:r>
          <m:rPr>
            <m:sty m:val="p"/>
          </m:rPr>
          <w:rPr>
            <w:rFonts w:ascii="Cambria Math" w:hAnsi="Cambria Math" w:cs="Times New Roman"/>
            <w:lang w:val="nb-NO"/>
          </w:rPr>
          <m:t>,</m:t>
        </m:r>
        <m:r>
          <w:rPr>
            <w:rFonts w:ascii="Cambria Math" w:hAnsi="Cambria Math" w:cs="Times New Roman"/>
            <w:lang w:val="nb-NO"/>
          </w:rPr>
          <m:t>05</m:t>
        </m:r>
      </m:oMath>
      <w:r w:rsidRPr="005D51E1">
        <w:rPr>
          <w:rFonts w:cs="Times New Roman"/>
          <w:lang w:val="nb-NO"/>
        </w:rPr>
        <w:t xml:space="preserve">, disertai koreksi perbandingan berganda bila beberapa indikator diuji secara simultan. Interval kepercayaan 95% dan ukuran efek dilaporkan agar makna teknis tidak direduksi menjadi nilai </w:t>
      </w:r>
      <m:oMath>
        <m:r>
          <w:rPr>
            <w:rFonts w:ascii="Cambria Math" w:hAnsi="Cambria Math" w:cs="Times New Roman"/>
          </w:rPr>
          <m:t>p</m:t>
        </m:r>
      </m:oMath>
      <w:r w:rsidRPr="005D51E1">
        <w:rPr>
          <w:rFonts w:cs="Times New Roman"/>
          <w:lang w:val="nb-NO"/>
        </w:rPr>
        <w:t>.</w:t>
      </w:r>
    </w:p>
    <w:p w14:paraId="3E806D5E" w14:textId="53BBC434" w:rsidR="00DD624E" w:rsidRPr="005D51E1" w:rsidRDefault="00D92408"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Analisis sensitivitas mencakup panjang jendela </w:t>
      </w:r>
      <m:oMath>
        <m:r>
          <w:rPr>
            <w:rFonts w:ascii="Cambria Math" w:hAnsi="Cambria Math" w:cs="Times New Roman"/>
            <w:sz w:val="24"/>
            <w:szCs w:val="24"/>
          </w:rPr>
          <m:t>L</m:t>
        </m:r>
      </m:oMath>
      <w:r w:rsidRPr="005D51E1">
        <w:rPr>
          <w:rFonts w:ascii="Times New Roman" w:hAnsi="Times New Roman" w:cs="Times New Roman"/>
          <w:sz w:val="24"/>
          <w:szCs w:val="24"/>
        </w:rPr>
        <w:t xml:space="preserve">, interval pembaruan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q</m:t>
            </m:r>
          </m:sub>
        </m:sSub>
      </m:oMath>
      <w:r w:rsidRPr="005D51E1">
        <w:rPr>
          <w:rFonts w:ascii="Times New Roman" w:hAnsi="Times New Roman" w:cs="Times New Roman"/>
          <w:sz w:val="24"/>
          <w:szCs w:val="24"/>
        </w:rPr>
        <w:t xml:space="preserve">, faktor penghalusan </w:t>
      </w:r>
      <m:oMath>
        <m:r>
          <w:rPr>
            <w:rFonts w:ascii="Cambria Math" w:hAnsi="Cambria Math" w:cs="Times New Roman"/>
            <w:sz w:val="24"/>
            <w:szCs w:val="24"/>
          </w:rPr>
          <m:t>α</m:t>
        </m:r>
      </m:oMath>
      <w:r w:rsidRPr="005D51E1">
        <w:rPr>
          <w:rFonts w:ascii="Times New Roman" w:hAnsi="Times New Roman" w:cs="Times New Roman"/>
          <w:sz w:val="24"/>
          <w:szCs w:val="24"/>
        </w:rPr>
        <w:t>, jumlah qubit, dan kedalaman VQC dalam rentang yang realistis. Analisis ini tidak dimaksudkan untuk mencari kombinasi tanpa batas, tetapi untuk menilai ketahanan kesimpulan terhadap pilihan desain utama.</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14:paraId="1498A982" w14:textId="28608ECD" w:rsidR="00A21439" w:rsidRPr="005D51E1" w:rsidRDefault="00A21439" w:rsidP="005F4315">
      <w:pPr>
        <w:pStyle w:val="FirstParagraph"/>
        <w:spacing w:before="0" w:after="0"/>
        <w:ind w:firstLine="709"/>
        <w:rPr>
          <w:lang w:val="no"/>
        </w:rPr>
      </w:pPr>
      <w:r w:rsidRPr="005D51E1">
        <w:rPr>
          <w:lang w:val="no"/>
        </w:rPr>
        <w:t>Penelitian dinyatakan berhasil secara metodologis jika: (1) model PLTMH–ELC lolos pemeriksaan fisik dan numerik; (2) target gain dapat direplikasi dari prosedur pencarian grid; (3) tidak terjadi kebocoran skenario antara data latih dan data uji; (4) LSTM dan QLSTM dapat diintegrasikan dengan loop kendali menggunakan gain berbatas; dan (5) perbandingan ketiga metode dapat dilakukan pada seluruh skenario uji.</w:t>
      </w:r>
    </w:p>
    <w:p w14:paraId="69CAB62E" w14:textId="214C9479" w:rsidR="00D92408" w:rsidRPr="005D51E1" w:rsidRDefault="00A21439" w:rsidP="005F4315">
      <w:pPr>
        <w:spacing w:after="0" w:line="360" w:lineRule="auto"/>
        <w:ind w:firstLine="709"/>
        <w:jc w:val="both"/>
        <w:rPr>
          <w:sz w:val="24"/>
          <w:szCs w:val="24"/>
        </w:rPr>
      </w:pPr>
      <w:r w:rsidRPr="005D51E1">
        <w:rPr>
          <w:rFonts w:ascii="Times New Roman" w:hAnsi="Times New Roman"/>
          <w:sz w:val="24"/>
          <w:szCs w:val="24"/>
        </w:rPr>
        <w:t>Keunggulan QLSTM secara empiris hanya dinyatakan jika perbaikan terhadap PI baseline dan LSTM konsisten pada mayoritas skenario, bermakna secara teknis, serta didukung hasil statistik. Jika QLSTM hanya menyamai LSTM atau membutuhkan biaya komputasi jauh lebih besar, kesimpulan disusun sesuai bukti tersebut.</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14:paraId="23C627F5" w14:textId="4D085386" w:rsidR="004333AE" w:rsidRPr="005D51E1" w:rsidRDefault="004333AE" w:rsidP="004333AE">
      <w:pPr>
        <w:pStyle w:val="FirstParagraph"/>
        <w:spacing w:before="0" w:after="0"/>
        <w:ind w:firstLine="709"/>
        <w:rPr>
          <w:rFonts w:cs="Times New Roman"/>
          <w:lang w:val="nb-NO"/>
        </w:rPr>
      </w:pPr>
      <w:r w:rsidRPr="005D51E1">
        <w:rPr>
          <w:rFonts w:cs="Times New Roman"/>
          <w:lang w:val="nb-NO"/>
        </w:rPr>
        <w:t xml:space="preserve">Alur penelitian dimulai dari spesifikasi dan validasi model PLTMH–ELC. Setelah PI baseline dan rentang gain ditetapkan, skenario pelabelan disimulasikan pada grid kandidat untuk menghasilkan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lang w:val="nb-NO"/>
              </w:rPr>
              <m:t>*</m:t>
            </m:r>
          </m:sup>
        </m:sSubSup>
      </m:oMath>
      <w:r w:rsidRPr="005D51E1">
        <w:rPr>
          <w:rFonts w:cs="Times New Roman"/>
          <w:lang w:val="nb-NO"/>
        </w:rPr>
        <w:t xml:space="preserve"> dan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lang w:val="nb-NO"/>
              </w:rPr>
              <m:t>*</m:t>
            </m:r>
          </m:sup>
        </m:sSubSup>
      </m:oMath>
      <w:r w:rsidRPr="005D51E1">
        <w:rPr>
          <w:rFonts w:cs="Times New Roman"/>
          <w:lang w:val="nb-NO"/>
        </w:rPr>
        <w:t xml:space="preserve">. Data temporal kemudian dinormalisasi dan dipisahkan berdasarkan skenario. LSTM dan QLSTM dilatih dengan target yang sama, lalu masing-masing diintegrasikan sebagai penjadwal gain pada simulasi </w:t>
      </w:r>
      <w:r w:rsidRPr="005D51E1">
        <w:rPr>
          <w:rFonts w:cs="Times New Roman"/>
          <w:i/>
          <w:iCs/>
          <w:lang w:val="nb-NO"/>
        </w:rPr>
        <w:t>closed-loop</w:t>
      </w:r>
      <w:r w:rsidRPr="005D51E1">
        <w:rPr>
          <w:rFonts w:cs="Times New Roman"/>
          <w:lang w:val="nb-NO"/>
        </w:rPr>
        <w:t>. Tahap akhir membandingkan PI gain tetap, LSTM–PI, dan QLSTM–PI pada skenario uji yang belum terlihat serta menyusun interpretasi berdasarkan kinerja teknis, statistik, dan beban komputasi.</w:t>
      </w:r>
    </w:p>
    <w:p w14:paraId="03F7A9DD" w14:textId="77777777" w:rsidR="004333AE" w:rsidRPr="005D51E1" w:rsidRDefault="004333AE" w:rsidP="004333AE">
      <w:pPr>
        <w:pStyle w:val="BodyText"/>
        <w:spacing w:before="0" w:after="0"/>
        <w:ind w:firstLine="709"/>
        <w:rPr>
          <w:rFonts w:cs="Times New Roman"/>
        </w:rPr>
      </w:pPr>
      <w:r w:rsidRPr="005D51E1">
        <w:rPr>
          <w:rFonts w:cs="Times New Roman"/>
        </w:rPr>
        <w:t>Rangkaian konseptual penelitian adalah:</w:t>
      </w:r>
    </w:p>
    <w:tbl>
      <w:tblPr>
        <w:tblStyle w:val="Table"/>
        <w:tblW w:w="9639" w:type="dxa"/>
        <w:tblLayout w:type="fixed"/>
        <w:tblLook w:val="04A0" w:firstRow="1" w:lastRow="0" w:firstColumn="1" w:lastColumn="0" w:noHBand="0" w:noVBand="1"/>
      </w:tblPr>
      <w:tblGrid>
        <w:gridCol w:w="6917"/>
        <w:gridCol w:w="2722"/>
      </w:tblGrid>
      <w:tr w:rsidR="004333AE" w:rsidRPr="005D51E1" w14:paraId="7A5EA97B"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52A3BB5" w14:textId="77777777" w:rsidR="004333AE" w:rsidRPr="005D51E1" w:rsidRDefault="00000000" w:rsidP="004333AE">
            <w:pPr>
              <w:spacing w:after="0" w:line="360" w:lineRule="auto"/>
              <w:jc w:val="both"/>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m:rPr>
                          <m:nor/>
                        </m:rPr>
                        <w:rPr>
                          <w:rFonts w:ascii="Times New Roman" w:hAnsi="Times New Roman" w:cs="Times New Roman"/>
                        </w:rPr>
                        <m:t>Model PLTMH–ELC dan skenario operasi</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 xml:space="preserve">Simulasi kandidat gain dan minimisasi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e>
                  </m:mr>
                  <m:mr>
                    <m:e/>
                    <m:e>
                      <m:r>
                        <w:rPr>
                          <w:rFonts w:ascii="Cambria Math" w:hAnsi="Cambria Math" w:cs="Times New Roman"/>
                        </w:rPr>
                        <m:t> </m:t>
                      </m:r>
                      <m:r>
                        <m:rPr>
                          <m:sty m:val="p"/>
                        </m:rPr>
                        <w:rPr>
                          <w:rFonts w:ascii="Cambria Math" w:hAnsi="Cambria Math" w:cs="Times New Roman"/>
                        </w:rPr>
                        <m:t>↓</m:t>
                      </m:r>
                    </m:e>
                  </m:mr>
                  <m:mr>
                    <m:e/>
                    <m:e>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Pelatihan LSTM dan QLSTM</m:t>
                      </m:r>
                    </m:e>
                  </m:mr>
                  <m:mr>
                    <m:e/>
                    <m:e>
                      <m:r>
                        <w:rPr>
                          <w:rFonts w:ascii="Cambria Math" w:hAnsi="Cambria Math" w:cs="Times New Roman"/>
                        </w:rPr>
                        <m:t> </m:t>
                      </m:r>
                      <m:r>
                        <m:rPr>
                          <m:sty m:val="p"/>
                        </m:rPr>
                        <w:rPr>
                          <w:rFonts w:ascii="Cambria Math" w:hAnsi="Cambria Math" w:cs="Times New Roman"/>
                        </w:rPr>
                        <m:t>↓</m:t>
                      </m:r>
                    </m:e>
                  </m:mr>
                  <m:mr>
                    <m:e/>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r>
                        <m:rPr>
                          <m:nor/>
                        </m:rPr>
                        <w:rPr>
                          <w:rFonts w:ascii="Times New Roman" w:hAnsi="Times New Roman" w:cs="Times New Roman"/>
                        </w:rPr>
                        <m:t>PI–ELC</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PI tetap vs LSTM–PI vs QLSTM–PI</m:t>
                      </m:r>
                      <m:r>
                        <m:rPr>
                          <m:sty m:val="p"/>
                        </m:rPr>
                        <w:rPr>
                          <w:rFonts w:ascii="Cambria Math" w:hAnsi="Cambria Math" w:cs="Times New Roman"/>
                        </w:rPr>
                        <m:t>.</m:t>
                      </m:r>
                    </m:e>
                  </m:mr>
                </m:m>
              </m:oMath>
            </m:oMathPara>
          </w:p>
        </w:tc>
        <w:tc>
          <w:tcPr>
            <w:tcW w:w="2722" w:type="dxa"/>
            <w:tcBorders>
              <w:bottom w:val="none" w:sz="0" w:space="0" w:color="auto"/>
            </w:tcBorders>
            <w:tcMar>
              <w:top w:w="0" w:type="dxa"/>
              <w:left w:w="0" w:type="dxa"/>
              <w:bottom w:w="0" w:type="dxa"/>
              <w:right w:w="0" w:type="dxa"/>
            </w:tcMar>
            <w:vAlign w:val="center"/>
          </w:tcPr>
          <w:p w14:paraId="50417627" w14:textId="77777777" w:rsidR="004333AE" w:rsidRPr="005D51E1" w:rsidRDefault="004333AE" w:rsidP="004333AE">
            <w:pPr>
              <w:spacing w:after="0" w:line="360" w:lineRule="auto"/>
              <w:jc w:val="right"/>
              <w:rPr>
                <w:rFonts w:ascii="Times New Roman" w:hAnsi="Times New Roman" w:cs="Times New Roman"/>
              </w:rPr>
            </w:pPr>
            <w:r w:rsidRPr="005D51E1">
              <w:rPr>
                <w:rFonts w:ascii="Times New Roman" w:hAnsi="Times New Roman" w:cs="Times New Roman"/>
              </w:rPr>
              <w:t>(3.7)</w:t>
            </w:r>
          </w:p>
        </w:tc>
      </w:tr>
    </w:tbl>
    <w:p w14:paraId="5E38EE03" w14:textId="4A4AF1F5" w:rsidR="00A21439" w:rsidRPr="005D51E1" w:rsidRDefault="004333AE" w:rsidP="004333AE">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Persamaan (3.7) merangkum hubungan antartahap yang telah dijelaskan pada Subbab 3.3–3.10. Pencarian grid berhenti setelah pembentukan label. Pada tahap pengujian, QLSTM menjadi komponen utama yang menentukan gain adaptif dari kondisi temporal sistem, sedangkan PI tetap menjalankan aksi kendali ELC sesuai arsitektur pada Persamaan (1.1).</w:t>
      </w:r>
    </w:p>
    <w:p w14:paraId="5C61C479" w14:textId="35E1F674" w:rsidR="00A31B24" w:rsidRPr="006409D7" w:rsidRDefault="00A31B24"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6409D7">
        <w:rPr>
          <w:rFonts w:ascii="Times New Roman" w:eastAsia="Times New Roman" w:hAnsi="Times New Roman" w:cs="Times New Roman"/>
          <w:color w:val="000000" w:themeColor="text1"/>
          <w:sz w:val="24"/>
          <w:szCs w:val="24"/>
          <w:lang w:val="nb-NO"/>
        </w:rPr>
        <w:br w:type="page"/>
      </w:r>
    </w:p>
    <w:p w14:paraId="00000027" w14:textId="52E9C911" w:rsidR="00547661" w:rsidRDefault="00665C9A" w:rsidP="00916E13">
      <w:pPr>
        <w:pStyle w:val="Heading3"/>
        <w:numPr>
          <w:ilvl w:val="0"/>
          <w:numId w:val="0"/>
        </w:numPr>
        <w:spacing w:before="0" w:after="720" w:line="360" w:lineRule="auto"/>
        <w:jc w:val="center"/>
        <w:rPr>
          <w:rFonts w:ascii="Times New Roman" w:eastAsia="Times New Roman" w:hAnsi="Times New Roman" w:cs="Times New Roman"/>
          <w:b/>
          <w:bCs/>
          <w:color w:val="000000" w:themeColor="text1"/>
          <w:sz w:val="28"/>
          <w:szCs w:val="28"/>
        </w:rPr>
      </w:pPr>
      <w:bookmarkStart w:id="98" w:name="_Toc223038553"/>
      <w:bookmarkStart w:id="99" w:name="_Toc239322502"/>
      <w:r w:rsidRPr="00E8321E">
        <w:rPr>
          <w:rFonts w:ascii="Times New Roman" w:eastAsia="Times New Roman" w:hAnsi="Times New Roman" w:cs="Times New Roman"/>
          <w:b/>
          <w:bCs/>
          <w:color w:val="000000" w:themeColor="text1"/>
          <w:sz w:val="28"/>
          <w:szCs w:val="28"/>
        </w:rPr>
        <w:lastRenderedPageBreak/>
        <w:t>DAFTAR PUSTAKA</w:t>
      </w:r>
      <w:bookmarkEnd w:id="98"/>
      <w:bookmarkEnd w:id="99"/>
    </w:p>
    <w:sdt>
      <w:sdtPr>
        <w:rPr>
          <w:rFonts w:ascii="Times New Roman" w:hAnsi="Times New Roman" w:cs="Times New Roman"/>
          <w:color w:val="000000"/>
          <w:sz w:val="24"/>
          <w:szCs w:val="24"/>
        </w:rPr>
        <w:tag w:val="MENDELEY_BIBLIOGRAPHY"/>
        <w:id w:val="-1087462871"/>
        <w:placeholder>
          <w:docPart w:val="DefaultPlaceholder_-1854013440"/>
        </w:placeholder>
      </w:sdtPr>
      <w:sdtContent>
        <w:p w14:paraId="1C969D4D" w14:textId="77777777" w:rsidR="0033772E" w:rsidRPr="0033772E" w:rsidRDefault="0033772E">
          <w:pPr>
            <w:autoSpaceDE w:val="0"/>
            <w:autoSpaceDN w:val="0"/>
            <w:ind w:hanging="480"/>
            <w:divId w:val="315182293"/>
            <w:rPr>
              <w:rFonts w:ascii="Times New Roman" w:eastAsia="Times New Roman" w:hAnsi="Times New Roman" w:cs="Times New Roman"/>
              <w:color w:val="000000"/>
              <w:sz w:val="24"/>
              <w:szCs w:val="24"/>
            </w:rPr>
          </w:pPr>
          <w:r w:rsidRPr="0033772E">
            <w:rPr>
              <w:rFonts w:ascii="Times New Roman" w:eastAsia="Times New Roman" w:hAnsi="Times New Roman" w:cs="Times New Roman"/>
              <w:color w:val="000000"/>
              <w:sz w:val="24"/>
            </w:rPr>
            <w:t xml:space="preserve">Águila-León, J., Chiñas-Palacios, C. D., Vargas-Salgado, C., Hurtado-Perez, E., &amp; García, E. X. M. (2020, April 20). Optimal PID Parameters Tunning for a DC-DC Boost Converter: A Performance Comparative Using Grey Wolf Optimizer, Particle Swarm Optimization and Genetic Algorithms. </w:t>
          </w:r>
          <w:r w:rsidRPr="0033772E">
            <w:rPr>
              <w:rFonts w:ascii="Times New Roman" w:eastAsia="Times New Roman" w:hAnsi="Times New Roman" w:cs="Times New Roman"/>
              <w:i/>
              <w:iCs/>
              <w:color w:val="000000"/>
              <w:sz w:val="24"/>
            </w:rPr>
            <w:t>IEEE Conference on Technologies for Sustainability (SusTech)</w:t>
          </w:r>
          <w:r w:rsidRPr="0033772E">
            <w:rPr>
              <w:rFonts w:ascii="Times New Roman" w:eastAsia="Times New Roman" w:hAnsi="Times New Roman" w:cs="Times New Roman"/>
              <w:color w:val="000000"/>
              <w:sz w:val="24"/>
            </w:rPr>
            <w:t>. https://doi.org/10.1109/SusTech47890.2020</w:t>
          </w:r>
        </w:p>
        <w:p w14:paraId="591D58BB" w14:textId="77777777" w:rsidR="0033772E" w:rsidRPr="0033772E" w:rsidRDefault="0033772E">
          <w:pPr>
            <w:autoSpaceDE w:val="0"/>
            <w:autoSpaceDN w:val="0"/>
            <w:ind w:hanging="480"/>
            <w:divId w:val="121419643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Ali, A., Arshad, Akhtar, H., Siddiqi, M. U. R., &amp; Kamran, M. (2020). An efficient and novel technique for electronic load controller to compensate the current and voltage harmonics.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23</w:t>
          </w:r>
          <w:r w:rsidRPr="0033772E">
            <w:rPr>
              <w:rFonts w:ascii="Times New Roman" w:eastAsia="Times New Roman" w:hAnsi="Times New Roman" w:cs="Times New Roman"/>
              <w:color w:val="000000"/>
              <w:sz w:val="24"/>
            </w:rPr>
            <w:t>(5), 1042–1057. https://doi.org/10.1016/j.jestch.2019.11.009</w:t>
          </w:r>
        </w:p>
        <w:p w14:paraId="55E1DBE5" w14:textId="77777777" w:rsidR="0033772E" w:rsidRPr="0033772E" w:rsidRDefault="0033772E">
          <w:pPr>
            <w:autoSpaceDE w:val="0"/>
            <w:autoSpaceDN w:val="0"/>
            <w:ind w:hanging="480"/>
            <w:divId w:val="83060883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Bergmeir, C., Hyndman, R. J., &amp; Koo, B. (2018). A note on the validity of cross-validation for evaluating autoregressive time series prediction. </w:t>
          </w:r>
          <w:r w:rsidRPr="0033772E">
            <w:rPr>
              <w:rFonts w:ascii="Times New Roman" w:eastAsia="Times New Roman" w:hAnsi="Times New Roman" w:cs="Times New Roman"/>
              <w:i/>
              <w:iCs/>
              <w:color w:val="000000"/>
              <w:sz w:val="24"/>
            </w:rPr>
            <w:t>Computational Statistics and Data Analysis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120</w:t>
          </w:r>
          <w:r w:rsidRPr="0033772E">
            <w:rPr>
              <w:rFonts w:ascii="Times New Roman" w:eastAsia="Times New Roman" w:hAnsi="Times New Roman" w:cs="Times New Roman"/>
              <w:color w:val="000000"/>
              <w:sz w:val="24"/>
            </w:rPr>
            <w:t>, 70–83. https://doi.org/10.1016/j.csda.2017.11.003</w:t>
          </w:r>
        </w:p>
        <w:p w14:paraId="54BDB17D" w14:textId="77777777" w:rsidR="0033772E" w:rsidRPr="0033772E" w:rsidRDefault="0033772E">
          <w:pPr>
            <w:autoSpaceDE w:val="0"/>
            <w:autoSpaceDN w:val="0"/>
            <w:ind w:hanging="480"/>
            <w:divId w:val="16922568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Chauhan, P., Syal, P., &amp; Kumar, S. (2024). A Review of Micro-Hydro System Topologies Operating at Off-Grid Locations. </w:t>
          </w:r>
          <w:r w:rsidRPr="0033772E">
            <w:rPr>
              <w:rFonts w:ascii="Times New Roman" w:eastAsia="Times New Roman" w:hAnsi="Times New Roman" w:cs="Times New Roman"/>
              <w:i/>
              <w:iCs/>
              <w:color w:val="000000"/>
              <w:sz w:val="24"/>
            </w:rPr>
            <w:t>2024 International Conference on Computer, Electronics, Electrical Engineering and Their Applications, IC2E3 2024</w:t>
          </w:r>
          <w:r w:rsidRPr="0033772E">
            <w:rPr>
              <w:rFonts w:ascii="Times New Roman" w:eastAsia="Times New Roman" w:hAnsi="Times New Roman" w:cs="Times New Roman"/>
              <w:color w:val="000000"/>
              <w:sz w:val="24"/>
            </w:rPr>
            <w:t>. https://doi.org/10.1109/IC2E362166.2024.10826648</w:t>
          </w:r>
        </w:p>
        <w:p w14:paraId="0C4EE553" w14:textId="77777777" w:rsidR="0033772E" w:rsidRPr="0033772E" w:rsidRDefault="0033772E">
          <w:pPr>
            <w:autoSpaceDE w:val="0"/>
            <w:autoSpaceDN w:val="0"/>
            <w:ind w:hanging="480"/>
            <w:divId w:val="671909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C., Yang, Y., &amp; Jywe, W. (2025). The development of the variational quantum circuits architecture of the quantum long short-term memory model for thermal error compensation in the z-axis of machine tools. </w:t>
          </w:r>
          <w:r w:rsidRPr="0033772E">
            <w:rPr>
              <w:rFonts w:ascii="Times New Roman" w:eastAsia="Times New Roman" w:hAnsi="Times New Roman" w:cs="Times New Roman"/>
              <w:i/>
              <w:iCs/>
              <w:color w:val="000000"/>
              <w:sz w:val="24"/>
            </w:rPr>
            <w:t>The International Journal of Advanced Manufacturing Technology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140</w:t>
          </w:r>
          <w:r w:rsidRPr="0033772E">
            <w:rPr>
              <w:rFonts w:ascii="Times New Roman" w:eastAsia="Times New Roman" w:hAnsi="Times New Roman" w:cs="Times New Roman"/>
              <w:color w:val="000000"/>
              <w:sz w:val="24"/>
            </w:rPr>
            <w:t>, 577–593. https://doi.org/10.1007/s00170-025-16239-7</w:t>
          </w:r>
        </w:p>
        <w:p w14:paraId="49C05D9F" w14:textId="77777777" w:rsidR="0033772E" w:rsidRPr="0033772E" w:rsidRDefault="0033772E">
          <w:pPr>
            <w:autoSpaceDE w:val="0"/>
            <w:autoSpaceDN w:val="0"/>
            <w:ind w:hanging="480"/>
            <w:divId w:val="8368979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S. Y.-C., Yoo, S., &amp; Fang, Y. L. L. (2022). Quantum Long Short-Term Memory. </w:t>
          </w:r>
          <w:r w:rsidRPr="0033772E">
            <w:rPr>
              <w:rFonts w:ascii="Times New Roman" w:eastAsia="Times New Roman" w:hAnsi="Times New Roman" w:cs="Times New Roman"/>
              <w:i/>
              <w:iCs/>
              <w:color w:val="000000"/>
              <w:sz w:val="24"/>
            </w:rPr>
            <w:t>ICASSP, IEEE International Conference on Acoustics, Speech and Signal Processing - Proceedings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2022-May</w:t>
          </w:r>
          <w:r w:rsidRPr="0033772E">
            <w:rPr>
              <w:rFonts w:ascii="Times New Roman" w:eastAsia="Times New Roman" w:hAnsi="Times New Roman" w:cs="Times New Roman"/>
              <w:color w:val="000000"/>
              <w:sz w:val="24"/>
            </w:rPr>
            <w:t>, 8622–8626. https://doi.org/10.1109/ICASSP43922.2022.9747369</w:t>
          </w:r>
        </w:p>
        <w:p w14:paraId="73D466A3" w14:textId="77777777" w:rsidR="0033772E" w:rsidRPr="0033772E" w:rsidRDefault="0033772E">
          <w:pPr>
            <w:autoSpaceDE w:val="0"/>
            <w:autoSpaceDN w:val="0"/>
            <w:ind w:hanging="480"/>
            <w:divId w:val="127620646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Dashtdar, M., Flah, A., Hosseinimoghadam, S. M. S., &amp; El-Fergany, A. (2022). Frequency control of the islanded microgrid including energy storage using soft computing. </w:t>
          </w:r>
          <w:r w:rsidRPr="0033772E">
            <w:rPr>
              <w:rFonts w:ascii="Times New Roman" w:eastAsia="Times New Roman" w:hAnsi="Times New Roman" w:cs="Times New Roman"/>
              <w:i/>
              <w:iCs/>
              <w:color w:val="000000"/>
              <w:sz w:val="24"/>
            </w:rPr>
            <w:t>Scientific Reports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(1). https://doi.org/10.1038/s41598-022-24758-6</w:t>
          </w:r>
        </w:p>
        <w:p w14:paraId="36727F2A" w14:textId="77777777" w:rsidR="0033772E" w:rsidRPr="0033772E" w:rsidRDefault="0033772E">
          <w:pPr>
            <w:autoSpaceDE w:val="0"/>
            <w:autoSpaceDN w:val="0"/>
            <w:ind w:hanging="480"/>
            <w:divId w:val="203688724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Fang, J., Li, H., Tang, Y., &amp; Blaabjerg, F. (2019). On the Inertia of Future More-Electronics Power Systems. </w:t>
          </w:r>
          <w:r w:rsidRPr="0033772E">
            <w:rPr>
              <w:rFonts w:ascii="Times New Roman" w:eastAsia="Times New Roman" w:hAnsi="Times New Roman" w:cs="Times New Roman"/>
              <w:i/>
              <w:iCs/>
              <w:color w:val="000000"/>
              <w:sz w:val="24"/>
            </w:rPr>
            <w:t>IEEE Journal of Emerging and Selected Topics in Power Electronics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7</w:t>
          </w:r>
          <w:r w:rsidRPr="0033772E">
            <w:rPr>
              <w:rFonts w:ascii="Times New Roman" w:eastAsia="Times New Roman" w:hAnsi="Times New Roman" w:cs="Times New Roman"/>
              <w:color w:val="000000"/>
              <w:sz w:val="24"/>
            </w:rPr>
            <w:t>(4), 2130–2146. https://doi.org/10.1109/JESTPE.2018.2877766</w:t>
          </w:r>
        </w:p>
        <w:p w14:paraId="61854326" w14:textId="77777777" w:rsidR="0033772E" w:rsidRPr="0033772E" w:rsidRDefault="0033772E">
          <w:pPr>
            <w:autoSpaceDE w:val="0"/>
            <w:autoSpaceDN w:val="0"/>
            <w:ind w:hanging="480"/>
            <w:divId w:val="158965147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Hochreiter, S., &amp; Schmidhuber, J. (1997). Long Short-Term Memory. </w:t>
          </w:r>
          <w:r w:rsidRPr="0033772E">
            <w:rPr>
              <w:rFonts w:ascii="Times New Roman" w:eastAsia="Times New Roman" w:hAnsi="Times New Roman" w:cs="Times New Roman"/>
              <w:i/>
              <w:iCs/>
              <w:color w:val="000000"/>
              <w:sz w:val="24"/>
            </w:rPr>
            <w:t>Neural Computation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9</w:t>
          </w:r>
          <w:r w:rsidRPr="0033772E">
            <w:rPr>
              <w:rFonts w:ascii="Times New Roman" w:eastAsia="Times New Roman" w:hAnsi="Times New Roman" w:cs="Times New Roman"/>
              <w:color w:val="000000"/>
              <w:sz w:val="24"/>
            </w:rPr>
            <w:t>, 1735–1780. https://doi.org/10.1162/neco.1997.9.8.1735</w:t>
          </w:r>
        </w:p>
        <w:p w14:paraId="506E014A" w14:textId="77777777" w:rsidR="0033772E" w:rsidRPr="0033772E" w:rsidRDefault="0033772E">
          <w:pPr>
            <w:autoSpaceDE w:val="0"/>
            <w:autoSpaceDN w:val="0"/>
            <w:ind w:hanging="480"/>
            <w:divId w:val="139311407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Hosseini, E., Al-Ghaili, A. M., Kadir, D. H., Gunasekaran, S. S., Ahmed, A. N., Jamil, N., Deveci, M., &amp; Razali, R. A. (2024). Meta-heuristics and deep learning for energy applications: Review and open research challenges (2018–2023). In </w:t>
          </w:r>
          <w:r w:rsidRPr="0033772E">
            <w:rPr>
              <w:rFonts w:ascii="Times New Roman" w:eastAsia="Times New Roman" w:hAnsi="Times New Roman" w:cs="Times New Roman"/>
              <w:i/>
              <w:iCs/>
              <w:color w:val="000000"/>
              <w:sz w:val="24"/>
            </w:rPr>
            <w:t>Energy Strategy Reviews</w:t>
          </w:r>
          <w:r w:rsidRPr="0033772E">
            <w:rPr>
              <w:rFonts w:ascii="Times New Roman" w:eastAsia="Times New Roman" w:hAnsi="Times New Roman" w:cs="Times New Roman"/>
              <w:color w:val="000000"/>
              <w:sz w:val="24"/>
            </w:rPr>
            <w:t xml:space="preserve"> (Vol. 53). Elsevier Ltd. https://doi.org/10.1016/j.esr.2024.101409</w:t>
          </w:r>
        </w:p>
        <w:p w14:paraId="273450B9" w14:textId="77777777" w:rsidR="0033772E" w:rsidRPr="0033772E" w:rsidRDefault="0033772E">
          <w:pPr>
            <w:autoSpaceDE w:val="0"/>
            <w:autoSpaceDN w:val="0"/>
            <w:ind w:hanging="480"/>
            <w:divId w:val="131428784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Kalla, U. K., Singh, B., &amp; Murthy, S. S. (2016). Modified Electronic Load Controller for Constant Frequency Operation with Voltage Regulation of Small Hydro-Driven Single-Phase SEIG. </w:t>
          </w:r>
          <w:r w:rsidRPr="0033772E">
            <w:rPr>
              <w:rFonts w:ascii="Times New Roman" w:eastAsia="Times New Roman" w:hAnsi="Times New Roman" w:cs="Times New Roman"/>
              <w:i/>
              <w:iCs/>
              <w:color w:val="000000"/>
              <w:sz w:val="24"/>
            </w:rPr>
            <w:lastRenderedPageBreak/>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52</w:t>
          </w:r>
          <w:r w:rsidRPr="0033772E">
            <w:rPr>
              <w:rFonts w:ascii="Times New Roman" w:eastAsia="Times New Roman" w:hAnsi="Times New Roman" w:cs="Times New Roman"/>
              <w:color w:val="000000"/>
              <w:sz w:val="24"/>
            </w:rPr>
            <w:t>(4), 2789–2800. https://doi.org/10.1109/TIA.2016.2542136</w:t>
          </w:r>
        </w:p>
        <w:p w14:paraId="1D097EB5" w14:textId="77777777" w:rsidR="0033772E" w:rsidRPr="0033772E" w:rsidRDefault="0033772E">
          <w:pPr>
            <w:autoSpaceDE w:val="0"/>
            <w:autoSpaceDN w:val="0"/>
            <w:ind w:hanging="480"/>
            <w:divId w:val="200311781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Khan, S. Z., Muzammil, N., Ghafoor, S., Khan, H., Zaidi, S. M. H., Aljohani, A. J., &amp; Aziz, I. (2024). Quantum long short-term memory (QLSTM) vs. classical LSTM in time series forecasting: a comparative study in solar power forecasting. </w:t>
          </w:r>
          <w:r w:rsidRPr="0033772E">
            <w:rPr>
              <w:rFonts w:ascii="Times New Roman" w:eastAsia="Times New Roman" w:hAnsi="Times New Roman" w:cs="Times New Roman"/>
              <w:i/>
              <w:iCs/>
              <w:color w:val="000000"/>
              <w:sz w:val="24"/>
            </w:rPr>
            <w:t>Frontiers in Physics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 https://doi.org/10.3389/fphy.2024.1439180</w:t>
          </w:r>
        </w:p>
        <w:p w14:paraId="104EB3C2" w14:textId="77777777" w:rsidR="0033772E" w:rsidRPr="0033772E" w:rsidRDefault="0033772E">
          <w:pPr>
            <w:autoSpaceDE w:val="0"/>
            <w:autoSpaceDN w:val="0"/>
            <w:ind w:hanging="480"/>
            <w:divId w:val="177204440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Khosravi, N., Çelik, D., Bevrani, H., &amp; Echalih, S. (2025). Microgrid stability: A comprehensive review of challenges, trends, and emerging solutions. In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(Vol. 170). Elsevier Ltd. https://doi.org/10.1016/j.ijepes.2025.110829</w:t>
          </w:r>
        </w:p>
        <w:p w14:paraId="3652D053" w14:textId="77777777" w:rsidR="0033772E" w:rsidRPr="0033772E" w:rsidRDefault="0033772E">
          <w:pPr>
            <w:autoSpaceDE w:val="0"/>
            <w:autoSpaceDN w:val="0"/>
            <w:ind w:hanging="480"/>
            <w:divId w:val="85846622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Latif, A., Hussain, S. M. S., Das, D. C., &amp; Ustun, T. S. (2020). Optimum synthesis of a BOA optimized novel dual-stage PI - (1 +ID) controller for frequency response of a microgrid. </w:t>
          </w:r>
          <w:r w:rsidRPr="0033772E">
            <w:rPr>
              <w:rFonts w:ascii="Times New Roman" w:eastAsia="Times New Roman" w:hAnsi="Times New Roman" w:cs="Times New Roman"/>
              <w:i/>
              <w:iCs/>
              <w:color w:val="000000"/>
              <w:sz w:val="24"/>
            </w:rPr>
            <w:t>Energies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13</w:t>
          </w:r>
          <w:r w:rsidRPr="0033772E">
            <w:rPr>
              <w:rFonts w:ascii="Times New Roman" w:eastAsia="Times New Roman" w:hAnsi="Times New Roman" w:cs="Times New Roman"/>
              <w:color w:val="000000"/>
              <w:sz w:val="24"/>
            </w:rPr>
            <w:t>(13). https://doi.org/10.3390/en13133446</w:t>
          </w:r>
        </w:p>
        <w:p w14:paraId="220ED87F" w14:textId="77777777" w:rsidR="0033772E" w:rsidRPr="0033772E" w:rsidRDefault="0033772E">
          <w:pPr>
            <w:autoSpaceDE w:val="0"/>
            <w:autoSpaceDN w:val="0"/>
            <w:ind w:hanging="480"/>
            <w:divId w:val="56171512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Milano, F., Dörfler, F., Hug ETH Zürich, G., Hill, D. J., &amp; Verbič, G. (2018, June 11). Foundations and Challenges of Low-Inertia Systems. </w:t>
          </w:r>
          <w:r w:rsidRPr="0033772E">
            <w:rPr>
              <w:rFonts w:ascii="Times New Roman" w:eastAsia="Times New Roman" w:hAnsi="Times New Roman" w:cs="Times New Roman"/>
              <w:i/>
              <w:iCs/>
              <w:color w:val="000000"/>
              <w:sz w:val="24"/>
            </w:rPr>
            <w:t>Power Systems Computation Conference (PSCC), 2018</w:t>
          </w:r>
          <w:r w:rsidRPr="0033772E">
            <w:rPr>
              <w:rFonts w:ascii="Times New Roman" w:eastAsia="Times New Roman" w:hAnsi="Times New Roman" w:cs="Times New Roman"/>
              <w:color w:val="000000"/>
              <w:sz w:val="24"/>
            </w:rPr>
            <w:t>.</w:t>
          </w:r>
        </w:p>
        <w:p w14:paraId="2E943988" w14:textId="77777777" w:rsidR="0033772E" w:rsidRPr="0033772E" w:rsidRDefault="0033772E">
          <w:pPr>
            <w:autoSpaceDE w:val="0"/>
            <w:autoSpaceDN w:val="0"/>
            <w:ind w:hanging="480"/>
            <w:divId w:val="8675664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Mulyadi, R., Effendy, M., Pakaya, I., &amp; Zulfatman. (2018). Analysis of integration flow control valve and electronic load controller for micro hydro power plant frequency regulation. </w:t>
          </w:r>
          <w:r w:rsidRPr="0033772E">
            <w:rPr>
              <w:rFonts w:ascii="Times New Roman" w:eastAsia="Times New Roman" w:hAnsi="Times New Roman" w:cs="Times New Roman"/>
              <w:i/>
              <w:iCs/>
              <w:color w:val="000000"/>
              <w:sz w:val="24"/>
            </w:rPr>
            <w:t>IOP Conference Series: Materials Science and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403</w:t>
          </w:r>
          <w:r w:rsidRPr="0033772E">
            <w:rPr>
              <w:rFonts w:ascii="Times New Roman" w:eastAsia="Times New Roman" w:hAnsi="Times New Roman" w:cs="Times New Roman"/>
              <w:color w:val="000000"/>
              <w:sz w:val="24"/>
            </w:rPr>
            <w:t>(1). https://doi.org/10.1088/1757-899X/403/1/012039</w:t>
          </w:r>
        </w:p>
        <w:p w14:paraId="076FF57E" w14:textId="77777777" w:rsidR="0033772E" w:rsidRPr="0033772E" w:rsidRDefault="0033772E">
          <w:pPr>
            <w:autoSpaceDE w:val="0"/>
            <w:autoSpaceDN w:val="0"/>
            <w:ind w:hanging="480"/>
            <w:divId w:val="197251230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Ndukwe, S. C., Kannan, R., &amp; Wei, H. T. (2024). Design and experimentation of a simple fuzzy pi-based ac chopper electronic load controller for pico hydropower system. </w:t>
          </w:r>
          <w:r w:rsidRPr="0033772E">
            <w:rPr>
              <w:rFonts w:ascii="Times New Roman" w:eastAsia="Times New Roman" w:hAnsi="Times New Roman" w:cs="Times New Roman"/>
              <w:i/>
              <w:iCs/>
              <w:color w:val="000000"/>
              <w:sz w:val="24"/>
            </w:rPr>
            <w:t>Heliyon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10</w:t>
          </w:r>
          <w:r w:rsidRPr="0033772E">
            <w:rPr>
              <w:rFonts w:ascii="Times New Roman" w:eastAsia="Times New Roman" w:hAnsi="Times New Roman" w:cs="Times New Roman"/>
              <w:color w:val="000000"/>
              <w:sz w:val="24"/>
            </w:rPr>
            <w:t>(17). https://doi.org/10.1016/j.heliyon.2024.e35248</w:t>
          </w:r>
        </w:p>
        <w:p w14:paraId="6D29A981" w14:textId="77777777" w:rsidR="0033772E" w:rsidRPr="0033772E" w:rsidRDefault="0033772E">
          <w:pPr>
            <w:autoSpaceDE w:val="0"/>
            <w:autoSpaceDN w:val="0"/>
            <w:ind w:hanging="480"/>
            <w:divId w:val="588668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Nel, G., &amp; Doorsamy, W. (2018, June 28). Development of an Intelligent Electronic Load Controller for Stand-Alone Micro-Hydropower Systems. </w:t>
          </w:r>
          <w:r w:rsidRPr="0033772E">
            <w:rPr>
              <w:rFonts w:ascii="Times New Roman" w:eastAsia="Times New Roman" w:hAnsi="Times New Roman" w:cs="Times New Roman"/>
              <w:i/>
              <w:iCs/>
              <w:color w:val="000000"/>
              <w:sz w:val="24"/>
            </w:rPr>
            <w:t>Power Engineering Society Conference and Exposition</w:t>
          </w:r>
          <w:r w:rsidRPr="0033772E">
            <w:rPr>
              <w:rFonts w:ascii="Times New Roman" w:eastAsia="Times New Roman" w:hAnsi="Times New Roman" w:cs="Times New Roman"/>
              <w:color w:val="000000"/>
              <w:sz w:val="24"/>
            </w:rPr>
            <w:t>. https://doi.org/10.1109/PowerAfrica.2018.8521133</w:t>
          </w:r>
        </w:p>
        <w:p w14:paraId="7258A5AF" w14:textId="77777777" w:rsidR="0033772E" w:rsidRPr="0033772E" w:rsidRDefault="0033772E">
          <w:pPr>
            <w:autoSpaceDE w:val="0"/>
            <w:autoSpaceDN w:val="0"/>
            <w:ind w:hanging="480"/>
            <w:divId w:val="85839178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Oureilidis, K. O., Bakirtzis, E. A., &amp; Demoulias, C. S. (2016). Frequency-based control of islanded microgrid with renewable energy sources and energy storage. </w:t>
          </w:r>
          <w:r w:rsidRPr="0033772E">
            <w:rPr>
              <w:rFonts w:ascii="Times New Roman" w:eastAsia="Times New Roman" w:hAnsi="Times New Roman" w:cs="Times New Roman"/>
              <w:i/>
              <w:iCs/>
              <w:color w:val="000000"/>
              <w:sz w:val="24"/>
            </w:rPr>
            <w:t>Journal of Modern Power Systems and Clean Energy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(1), 54–62. https://doi.org/10.1007/s40565-015-0178-z</w:t>
          </w:r>
        </w:p>
        <w:p w14:paraId="4DD91319" w14:textId="77777777" w:rsidR="0033772E" w:rsidRPr="0033772E" w:rsidRDefault="0033772E">
          <w:pPr>
            <w:autoSpaceDE w:val="0"/>
            <w:autoSpaceDN w:val="0"/>
            <w:ind w:hanging="480"/>
            <w:divId w:val="30678099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Rugh, W. J., &amp; Shamma, J. S. (2000). Research on gain scheduling. </w:t>
          </w:r>
          <w:r w:rsidRPr="0033772E">
            <w:rPr>
              <w:rFonts w:ascii="Times New Roman" w:eastAsia="Times New Roman" w:hAnsi="Times New Roman" w:cs="Times New Roman"/>
              <w:i/>
              <w:iCs/>
              <w:color w:val="000000"/>
              <w:sz w:val="24"/>
            </w:rPr>
            <w:t>Automatica</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36</w:t>
          </w:r>
          <w:r w:rsidRPr="0033772E">
            <w:rPr>
              <w:rFonts w:ascii="Times New Roman" w:eastAsia="Times New Roman" w:hAnsi="Times New Roman" w:cs="Times New Roman"/>
              <w:color w:val="000000"/>
              <w:sz w:val="24"/>
            </w:rPr>
            <w:t>(10), 1401–1425. https://doi.org/https://doi.org/10.1016/S0005-1098(00)00058-3</w:t>
          </w:r>
        </w:p>
        <w:p w14:paraId="1BBE8EE9" w14:textId="77777777" w:rsidR="0033772E" w:rsidRPr="0033772E" w:rsidRDefault="0033772E">
          <w:pPr>
            <w:autoSpaceDE w:val="0"/>
            <w:autoSpaceDN w:val="0"/>
            <w:ind w:hanging="480"/>
            <w:divId w:val="15657223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Sahu, R., Srivastava, S., &amp; Kumar, R. (2023). Modelling of a Non-Linear Dynamic System Using Long Short-Term Memory. </w:t>
          </w:r>
          <w:r w:rsidRPr="0033772E">
            <w:rPr>
              <w:rFonts w:ascii="Times New Roman" w:eastAsia="Times New Roman" w:hAnsi="Times New Roman" w:cs="Times New Roman"/>
              <w:i/>
              <w:iCs/>
              <w:color w:val="000000"/>
              <w:sz w:val="24"/>
            </w:rPr>
            <w:t>Proceedings - 4th IEEE 2023 International Conference on Computing, Communication, and Intelligent Systems, ICCCIS 2023</w:t>
          </w:r>
          <w:r w:rsidRPr="0033772E">
            <w:rPr>
              <w:rFonts w:ascii="Times New Roman" w:eastAsia="Times New Roman" w:hAnsi="Times New Roman" w:cs="Times New Roman"/>
              <w:color w:val="000000"/>
              <w:sz w:val="24"/>
            </w:rPr>
            <w:t>, 1016–1021. https://doi.org/10.1109/ICCCIS60361.2023.10425027</w:t>
          </w:r>
        </w:p>
        <w:p w14:paraId="787D388A" w14:textId="77777777" w:rsidR="0033772E" w:rsidRPr="0033772E" w:rsidRDefault="0033772E">
          <w:pPr>
            <w:autoSpaceDE w:val="0"/>
            <w:autoSpaceDN w:val="0"/>
            <w:ind w:hanging="480"/>
            <w:divId w:val="20978228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Salhi, I., Doubabi, S., Essounbouli, N., &amp; Hamzaoui, A. (2014). Frequency regulation for large load variations on micro-hydro power plants with real-time implementation.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60</w:t>
          </w:r>
          <w:r w:rsidRPr="0033772E">
            <w:rPr>
              <w:rFonts w:ascii="Times New Roman" w:eastAsia="Times New Roman" w:hAnsi="Times New Roman" w:cs="Times New Roman"/>
              <w:color w:val="000000"/>
              <w:sz w:val="24"/>
            </w:rPr>
            <w:t>, 6–13. https://doi.org/10.1016/j.ijepes.2014.02.029</w:t>
          </w:r>
        </w:p>
        <w:p w14:paraId="76EEF34D" w14:textId="77777777" w:rsidR="0033772E" w:rsidRPr="0033772E" w:rsidRDefault="0033772E">
          <w:pPr>
            <w:autoSpaceDE w:val="0"/>
            <w:autoSpaceDN w:val="0"/>
            <w:ind w:hanging="480"/>
            <w:divId w:val="207030182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lastRenderedPageBreak/>
            <w:t xml:space="preserve">Sami, I., Ullah, N., Muyeen, S. M., Techato, K., Chowdhury, S., &amp; Ro, J. S. (2020). Control Methods for Standalone and Grid Connected Micro-Hydro Power Plants with Synthetic Inertia Frequency Support: A Comprehensive Review. </w:t>
          </w:r>
          <w:r w:rsidRPr="0033772E">
            <w:rPr>
              <w:rFonts w:ascii="Times New Roman" w:eastAsia="Times New Roman" w:hAnsi="Times New Roman" w:cs="Times New Roman"/>
              <w:i/>
              <w:iCs/>
              <w:color w:val="000000"/>
              <w:sz w:val="24"/>
            </w:rPr>
            <w:t>IEEE Access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8</w:t>
          </w:r>
          <w:r w:rsidRPr="0033772E">
            <w:rPr>
              <w:rFonts w:ascii="Times New Roman" w:eastAsia="Times New Roman" w:hAnsi="Times New Roman" w:cs="Times New Roman"/>
              <w:color w:val="000000"/>
              <w:sz w:val="24"/>
            </w:rPr>
            <w:t>, 176313–176329. https://doi.org/10.1109/ACCESS.2020.3026492</w:t>
          </w:r>
        </w:p>
        <w:p w14:paraId="47F8C3D6" w14:textId="77777777" w:rsidR="0033772E" w:rsidRPr="0033772E" w:rsidRDefault="0033772E">
          <w:pPr>
            <w:autoSpaceDE w:val="0"/>
            <w:autoSpaceDN w:val="0"/>
            <w:ind w:hanging="480"/>
            <w:divId w:val="160315174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Singh, R. R., Kumar, B. A., Shruthi, D., Panda, R., &amp; Raj, C. T. (2018). Review and experimental illustrations of electronic load controller used in standalone Micro-Hydro generating plants. In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(Vol. 21, Number 5, pp. 886–900). Elsevier B.V. https://doi.org/10.1016/j.jestch.2018.07.006</w:t>
          </w:r>
        </w:p>
        <w:p w14:paraId="2D7DD41E" w14:textId="77777777" w:rsidR="0033772E" w:rsidRPr="0033772E" w:rsidRDefault="0033772E">
          <w:pPr>
            <w:autoSpaceDE w:val="0"/>
            <w:autoSpaceDN w:val="0"/>
            <w:ind w:hanging="480"/>
            <w:divId w:val="5316485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Tyagi, S., Singh, B., &amp; Das, S. (2022). ELD-OSG Control of a Battery-Based Electronic Load Controller for a Small Hydro Energy Conversion System. </w:t>
          </w:r>
          <w:r w:rsidRPr="0033772E">
            <w:rPr>
              <w:rFonts w:ascii="Times New Roman" w:eastAsia="Times New Roman" w:hAnsi="Times New Roman" w:cs="Times New Roman"/>
              <w:i/>
              <w:iCs/>
              <w:color w:val="000000"/>
              <w:sz w:val="24"/>
            </w:rPr>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58</w:t>
          </w:r>
          <w:r w:rsidRPr="0033772E">
            <w:rPr>
              <w:rFonts w:ascii="Times New Roman" w:eastAsia="Times New Roman" w:hAnsi="Times New Roman" w:cs="Times New Roman"/>
              <w:color w:val="000000"/>
              <w:sz w:val="24"/>
            </w:rPr>
            <w:t>(3), 3142–3152. https://doi.org/10.1109/TIA.2022.3149846</w:t>
          </w:r>
        </w:p>
        <w:p w14:paraId="4F3F418A" w14:textId="77777777" w:rsidR="0033772E" w:rsidRPr="0033772E" w:rsidRDefault="0033772E">
          <w:pPr>
            <w:autoSpaceDE w:val="0"/>
            <w:autoSpaceDN w:val="0"/>
            <w:ind w:hanging="480"/>
            <w:divId w:val="20375858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Yu, Y., Hu, G., Liu, C., Xiong, J., &amp; Wu, Z. (2023). Prediction of Solar Irradiance One Hour Ahead Based on Quantum Long Short-Term Memory Network. </w:t>
          </w:r>
          <w:r w:rsidRPr="0033772E">
            <w:rPr>
              <w:rFonts w:ascii="Times New Roman" w:eastAsia="Times New Roman" w:hAnsi="Times New Roman" w:cs="Times New Roman"/>
              <w:i/>
              <w:iCs/>
              <w:color w:val="000000"/>
              <w:sz w:val="24"/>
            </w:rPr>
            <w:t>IEEE Transactions on Quantum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 1–15. https://doi.org/10.1109/tqe.2023.3271362</w:t>
          </w:r>
        </w:p>
        <w:p w14:paraId="6CDD4CA6" w14:textId="48C21F47" w:rsidR="0068238E" w:rsidRPr="0068238E" w:rsidRDefault="0033772E" w:rsidP="0068238E">
          <w:r w:rsidRPr="0033772E">
            <w:rPr>
              <w:rFonts w:ascii="Times New Roman" w:eastAsia="Times New Roman" w:hAnsi="Times New Roman" w:cs="Times New Roman"/>
              <w:color w:val="000000"/>
              <w:sz w:val="24"/>
            </w:rPr>
            <w:t> </w:t>
          </w:r>
        </w:p>
      </w:sdtContent>
    </w:sdt>
    <w:p w14:paraId="6C8B86CA" w14:textId="77777777" w:rsidR="001A16CC" w:rsidRPr="002B0109" w:rsidRDefault="001A16CC" w:rsidP="001A16CC">
      <w:pPr>
        <w:rPr>
          <w:rFonts w:ascii="Times New Roman" w:hAnsi="Times New Roman" w:cs="Times New Roman"/>
          <w:color w:val="000000" w:themeColor="text1"/>
        </w:rPr>
      </w:pPr>
    </w:p>
    <w:p w14:paraId="1A74202D" w14:textId="77777777" w:rsidR="001A16CC" w:rsidRPr="00E8321E" w:rsidRDefault="001A16CC" w:rsidP="001A16CC">
      <w:pPr>
        <w:jc w:val="right"/>
        <w:rPr>
          <w:rFonts w:ascii="Times New Roman" w:hAnsi="Times New Roman" w:cs="Times New Roman"/>
          <w:color w:val="000000" w:themeColor="text1"/>
        </w:rPr>
      </w:pP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