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pageBreakBefore/>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pPr>
        <w:pStyle w:val="FirstParagraph"/>
      </w:pPr>
      <w:r>
        <w:t xml:space="preserve">Penelitian ini menggunakan pendekatan eksperimen komputasional berbasis</w:t>
      </w:r>
      <w:r>
        <w:t xml:space="preserve"> </w:t>
      </w:r>
      <w:r>
        <w:t xml:space="preserve">simulasi untuk mengevaluasi penjadwalan gain PI pada ELC PLTMH terisolasi.</w:t>
      </w:r>
      <w:r>
        <w:t xml:space="preserve"> </w:t>
      </w:r>
      <w:r>
        <w:t xml:space="preserve">Tahapan penelitian mencakup validasi model PLTMH–ELC, penetapan PI gain tetap,</w:t>
      </w:r>
      <w:r>
        <w:t xml:space="preserve"> </w:t>
      </w:r>
      <w:r>
        <w:t xml:space="preserve">pembentukan target gain secara luring, pembentukan dataset temporal, pelatihan</w:t>
      </w:r>
      <w:r>
        <w:t xml:space="preserve"> </w:t>
      </w:r>
      <w:r>
        <w:t xml:space="preserve">LSTM dan QLSTM, integrasi kedua model sebagai scheduler gain, serta evaluasi</w:t>
      </w:r>
      <w:r>
        <w:t xml:space="preserve"> </w:t>
      </w:r>
      <w:r>
        <w:t xml:space="preserve">closed-loop menggunakan protokol yang dibekukan sebelum hasil akhir diketahui.</w:t>
      </w:r>
    </w:p>
    <w:p>
      <w:pPr>
        <w:pStyle w:val="BodyText"/>
      </w:pPr>
      <w:r>
        <w:t xml:space="preserve">Variabel perlakuan pada tahap closed-loop adalah konfigurasi pengendali:</w:t>
      </w:r>
      <w:r>
        <w:t xml:space="preserve"> </w:t>
      </w:r>
      <w:r>
        <w:t xml:space="preserve">PI gain tetap, LSTM–PI, dan QLSTM–PI. Unit independen utama untuk evaluasi</w:t>
      </w:r>
      <w:r>
        <w:t xml:space="preserve"> </w:t>
      </w:r>
      <w:r>
        <w:t xml:space="preserve">generalization adalah keluarga dinamik, bukan titik waktu integrasi numerik</w:t>
      </w:r>
      <w:r>
        <w:t xml:space="preserve"> </w:t>
      </w:r>
      <w:r>
        <w:t xml:space="preserve">maupun satu baris dataset. Dua keluarga dinamik uji independen digunakan</w:t>
      </w:r>
      <w:r>
        <w:t xml:space="preserve"> </w:t>
      </w:r>
      <w:r>
        <w:t xml:space="preserve">sebagai bukti primer, sedangkan skenario boundary stress dan diagnostik G3</w:t>
      </w:r>
      <w:r>
        <w:t xml:space="preserve"> </w:t>
      </w:r>
      <w:r>
        <w:t xml:space="preserve">dilaporkan secara terpisah sesuai fungsi masing-masing.</w:t>
      </w:r>
    </w:p>
    <w:p>
      <w:pPr>
        <w:pStyle w:val="BodyText"/>
      </w:pPr>
      <w:r>
        <w:t xml:space="preserve">Metrik primer penelitian adalah RMSE deviasi frekuensi pada periode</w:t>
      </w:r>
      <w:r>
        <w:t xml:space="preserve"> </w:t>
      </w:r>
      <w:r>
        <w:t xml:space="preserve">pascagangguan. Simpangan puncak, RoCoF, waktu tunak, galat frekuensi akhir,</w:t>
      </w:r>
      <w:r>
        <w:t xml:space="preserve"> </w:t>
      </w:r>
      <w:r>
        <w:t xml:space="preserve">aktivitas beban buangan, lintasan gain, variasi duty, saturasi atau fallback,</w:t>
      </w:r>
      <w:r>
        <w:t xml:space="preserve"> </w:t>
      </w:r>
      <w:r>
        <w:t xml:space="preserve">dan beban komputasi digunakan sebagai indikator pendukung. Analisis bersifat</w:t>
      </w:r>
      <w:r>
        <w:t xml:space="preserve"> </w:t>
      </w:r>
      <w:r>
        <w:t xml:space="preserve">deskriptif karena jumlah keluarga uji independen tidak memadai untuk klaim</w:t>
      </w:r>
      <w:r>
        <w:t xml:space="preserve"> </w:t>
      </w:r>
      <w:r>
        <w:t xml:space="preserve">signifikansi statistik.</w:t>
      </w:r>
    </w:p>
    <w:p>
      <w:pPr>
        <w:pStyle w:val="BodyText"/>
      </w:pPr>
      <w:r>
        <w:t xml:space="preserve">Rentang keluaran gain yang digunakan selama evaluasi merupakan envelope gain</w:t>
      </w:r>
      <w:r>
        <w:t xml:space="preserve"> </w:t>
      </w:r>
      <w:r>
        <w:t xml:space="preserve">admissible yang dibekukan dari ruang label supervised. Rentang tersebut tidak</w:t>
      </w:r>
      <w:r>
        <w:t xml:space="preserve"> </w:t>
      </w:r>
      <w:r>
        <w:t xml:space="preserve">ditafsirkan sebagai jaminan kestabilan fisik universal PLTMH. Penelitian juga</w:t>
      </w:r>
      <w:r>
        <w:t xml:space="preserve"> </w:t>
      </w:r>
      <w:r>
        <w:t xml:space="preserve">tidak menetapkan keberhasilan berdasarkan keharusan QLSTM mengungguli LSTM</w:t>
      </w:r>
      <w:r>
        <w:t xml:space="preserve"> </w:t>
      </w:r>
      <w:r>
        <w:t xml:space="preserve">atau PI gain tetap; hasil setara maupun lebih rendah tetap dipertahankan sebagai</w:t>
      </w:r>
      <w:r>
        <w:t xml:space="preserve"> </w:t>
      </w:r>
      <w:r>
        <w:t xml:space="preserve">hasil empiris yang sah.</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pPr>
        <w:pStyle w:val="FirstParagraph"/>
      </w:pPr>
      <w:r>
        <w:t xml:space="preserve">Penelitian dilaksanakan secara komputasional menggunakan alur kerja berbasis</w:t>
      </w:r>
      <w:r>
        <w:t xml:space="preserve"> </w:t>
      </w:r>
      <w:r>
        <w:t xml:space="preserve">Python yang terdokumentasi dalam notebook proyek dan repositori GitHub.</w:t>
      </w:r>
      <w:r>
        <w:t xml:space="preserve"> </w:t>
      </w:r>
      <w:r>
        <w:t xml:space="preserve">Pemodelan, pembentukan dataset, pelatihan model, simulasi closed-loop, serta</w:t>
      </w:r>
      <w:r>
        <w:t xml:space="preserve"> </w:t>
      </w:r>
      <w:r>
        <w:t xml:space="preserve">analisis hasil dilakukan dalam lingkungan komputasi yang dapat direproduksi</w:t>
      </w:r>
      <w:r>
        <w:t xml:space="preserve"> </w:t>
      </w:r>
      <w:r>
        <w:t xml:space="preserve">dari artefak proyek yang dibekukan.</w:t>
      </w:r>
    </w:p>
    <w:p>
      <w:pPr>
        <w:pStyle w:val="BodyText"/>
      </w:pPr>
      <w:r>
        <w:t xml:space="preserve">LSTM direalisasikan menggunakan PyTorch. QLSTM dikembangkan sebagai model</w:t>
      </w:r>
      <w:r>
        <w:t xml:space="preserve"> </w:t>
      </w:r>
      <w:r>
        <w:t xml:space="preserve">hybrid quantum–classical menggunakan PyTorch dan PennyLane, dengan eksekusi</w:t>
      </w:r>
      <w:r>
        <w:t xml:space="preserve"> </w:t>
      </w:r>
      <w:r>
        <w:t xml:space="preserve">akhir pada CPU. Implementasi final tidak menggunakan perangkat keras kuantum.</w:t>
      </w:r>
      <w:r>
        <w:t xml:space="preserve"> </w:t>
      </w:r>
      <w:r>
        <w:t xml:space="preserve">MATLAB/Simulink dan Qiskit tidak digunakan sebagai lingkungan utama untuk</w:t>
      </w:r>
      <w:r>
        <w:t xml:space="preserve"> </w:t>
      </w:r>
      <w:r>
        <w:t xml:space="preserve">menghasilkan hasil eksperimen final yang dilaporkan.</w:t>
      </w:r>
    </w:p>
    <w:p>
      <w:pPr>
        <w:pStyle w:val="BodyText"/>
      </w:pPr>
      <w:r>
        <w:t xml:space="preserve">Tahapan komputasi direpresentasikan oleh notebook pembentukan dataset,</w:t>
      </w:r>
      <w:r>
        <w:t xml:space="preserve"> </w:t>
      </w:r>
      <w:r>
        <w:t xml:space="preserve">prapengolahan, pelatihan LSTM, pelatihan QLSTM, pengujian closed-loop, dan</w:t>
      </w:r>
      <w:r>
        <w:t xml:space="preserve"> </w:t>
      </w:r>
      <w:r>
        <w:t xml:space="preserve">analisis akhir. Tahap analisis akhir difokuskan pada perbandingan deskriptif</w:t>
      </w:r>
      <w:r>
        <w:t xml:space="preserve"> </w:t>
      </w:r>
      <w:r>
        <w:t xml:space="preserve">ketiga konfigurasi pengendali dan beban komputasinya, bukan pada pengujian</w:t>
      </w:r>
      <w:r>
        <w:t xml:space="preserve"> </w:t>
      </w:r>
      <w:r>
        <w:t xml:space="preserve">signifikansi inferensial.</w:t>
      </w:r>
    </w:p>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pPr>
        <w:pStyle w:val="FirstParagraph"/>
      </w:pPr>
      <w:r>
        <w:t xml:space="preserve">Model penelitian merepresentasikan PLTMH terisolasi berkapasitas nominal</w:t>
      </w:r>
      <w:r>
        <w:t xml:space="preserve"> </w:t>
      </w:r>
      <w:r>
        <w:t xml:space="preserve">100 kW yang terhubung dengan generator sinkron, beban konsumen, pengendali PI,</w:t>
      </w:r>
      <w:r>
        <w:t xml:space="preserve"> </w:t>
      </w:r>
      <w:r>
        <w:t xml:space="preserve">dan Electronic Load Controller (ELC). Keseimbangan daya dijaga dengan</w:t>
      </w:r>
      <w:r>
        <w:t xml:space="preserve"> </w:t>
      </w:r>
      <w:r>
        <w:t xml:space="preserve">mengalihkan selisih daya ke beban buangan resistif sehingga perubahan daya</w:t>
      </w:r>
      <w:r>
        <w:t xml:space="preserve"> </w:t>
      </w:r>
      <w:r>
        <w:t xml:space="preserve">beban konsumen dapat dikompensasi oleh ELC.</w:t>
      </w:r>
    </w:p>
    <w:p>
      <w:pPr>
        <w:pStyle w:val="BodyText"/>
      </w:pPr>
      <w:r>
        <w:t xml:space="preserve">Dinamika frekuensi mengikuti hubungan keseimbangan antara daya mekanik dan</w:t>
      </w:r>
      <w:r>
        <w:t xml:space="preserve"> </w:t>
      </w:r>
      <w:r>
        <w:t xml:space="preserve">daya elektrik sebagaimana dirumuskan pada Bab II. Pada model primer yang</w:t>
      </w:r>
      <w:r>
        <w:t xml:space="preserve"> </w:t>
      </w:r>
      <w:r>
        <w:t xml:space="preserve">digunakan untuk memperoleh hasil akhir, daya mekanik diperlakukan konstan</w:t>
      </w:r>
      <w:r>
        <w:t xml:space="preserve"> </w:t>
      </w:r>
      <w:r>
        <w:t xml:space="preserve">selama satu simulasi closed-loop. Oleh karena itu, dinamika governor, bukaan</w:t>
      </w:r>
      <w:r>
        <w:t xml:space="preserve"> </w:t>
      </w:r>
      <w:r>
        <w:t xml:space="preserve">katup atau gate, waterway, dan model hidraulik rinci tidak dimasukkan ke dalam</w:t>
      </w:r>
      <w:r>
        <w:t xml:space="preserve"> </w:t>
      </w:r>
      <w:r>
        <w:t xml:space="preserve">scope hasil utama.</w:t>
      </w:r>
    </w:p>
    <w:p>
      <w:pPr>
        <w:pStyle w:val="BodyText"/>
      </w:pPr>
      <w:r>
        <w:t xml:space="preserve">ELC dimodelkan menggunakan representasi averaged sehingga aksi pengalihan daya</w:t>
      </w:r>
      <w:r>
        <w:t xml:space="preserve"> </w:t>
      </w:r>
      <w:r>
        <w:t xml:space="preserve">beban buangan direpresentasikan pada tingkat daya rata-rata. Model ini tidak</w:t>
      </w:r>
      <w:r>
        <w:t xml:space="preserve"> </w:t>
      </w:r>
      <w:r>
        <w:t xml:space="preserve">mensimulasikan detail switching individual IGBT/PWM pada skala waktu</w:t>
      </w:r>
      <w:r>
        <w:t xml:space="preserve"> </w:t>
      </w:r>
      <w:r>
        <w:t xml:space="preserve">elektronika daya. Pendekatan averaged dipilih agar evaluasi difokuskan pada</w:t>
      </w:r>
      <w:r>
        <w:t xml:space="preserve"> </w:t>
      </w:r>
      <w:r>
        <w:t xml:space="preserve">dinamika frekuensi dan pengaruh perubahan gain PI pada tingkat supervisori.</w:t>
      </w:r>
    </w:p>
    <w:p>
      <w:pPr>
        <w:pStyle w:val="BodyText"/>
      </w:pPr>
      <w:r>
        <w:t xml:space="preserve">Scope tersebut digunakan secara konsisten pada pembentukan bukti closed-loop.</w:t>
      </w:r>
      <w:r>
        <w:t xml:space="preserve"> </w:t>
      </w:r>
      <w:r>
        <w:t xml:space="preserve">Dengan demikian, kesimpulan penelitian dibatasi pada model ELC averaged,</w:t>
      </w:r>
      <w:r>
        <w:t xml:space="preserve"> </w:t>
      </w:r>
      <w:r>
        <w:t xml:space="preserve">daya mekanik konstan, simulasi deterministik, serta kebijakan observasi dan</w:t>
      </w:r>
      <w:r>
        <w:t xml:space="preserve"> </w:t>
      </w:r>
      <w:r>
        <w:t xml:space="preserve">pembaruan gain yang telah dibekukan.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pPr>
        <w:pStyle w:val="FirstParagraph"/>
      </w:pPr>
      <w:r>
        <w:t xml:space="preserve">Konfigurasi PI gain tetap digunakan sebagai pembanding utama sekaligus nilai</w:t>
      </w:r>
      <w:r>
        <w:t xml:space="preserve"> </w:t>
      </w:r>
      <w:r>
        <w:t xml:space="preserve">fallback bagi kedua scheduler adaptif. Pasangan yang dibekukan pada tahap</w:t>
      </w:r>
      <w:r>
        <w:t xml:space="preserve"> </w:t>
      </w:r>
      <w:r>
        <w:t xml:space="preserve">akhir penelitian adalah</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Pasangan tersebut</w:t>
      </w:r>
      <w:r>
        <w:t xml:space="preserve"> </w:t>
      </w:r>
      <w:r>
        <w:t xml:space="preserve">digunakan secara identik ketika model adaptif belum diaktifkan atau ketika</w:t>
      </w:r>
      <w:r>
        <w:t xml:space="preserve"> </w:t>
      </w:r>
      <w:r>
        <w:t xml:space="preserve">inferensi menghasilkan keluaran yang tidak dapat diterapkan.</w:t>
      </w:r>
    </w:p>
    <w:p>
      <w:pPr>
        <w:pStyle w:val="BodyText"/>
      </w:pPr>
      <w:r>
        <w:t xml:space="preserve">Rentang gain untuk keluaran scheduler mengikuti</w:t>
      </w:r>
      <w:r>
        <w:t xml:space="preserve"> </w:t>
      </w:r>
      <w:r>
        <w:rPr>
          <w:iCs/>
          <w:i/>
        </w:rPr>
        <w:t xml:space="preserve">envelope</w:t>
      </w:r>
      <w:r>
        <w:t xml:space="preserve"> </w:t>
      </w:r>
      <w:r>
        <w:t xml:space="preserve">gain</w:t>
      </w:r>
      <w:r>
        <w:t xml:space="preserve"> </w:t>
      </w:r>
      <w:r>
        <w:rPr>
          <w:iCs/>
          <w:i/>
        </w:rPr>
        <w:t xml:space="preserve">admissible</w:t>
      </w:r>
      <w:r>
        <w:t xml:space="preserve"> </w:t>
      </w:r>
      <w:r>
        <w:t xml:space="preserve">final,</w:t>
      </w:r>
    </w:p>
    <w:p>
      <w:pPr>
        <w:pStyle w:val="BodyText"/>
      </w:pPr>
      <m:oMathPara>
        <m:oMathParaPr>
          <m:jc m:val="center"/>
        </m:oMathParaPr>
        <m:oMath>
          <m:r>
            <m:t>2</m:t>
          </m:r>
          <m:r>
            <m:rPr>
              <m:sty m:val="p"/>
            </m:rPr>
            <m:t>,</m:t>
          </m:r>
          <m:r>
            <m:t>16</m:t>
          </m:r>
          <m:r>
            <m:rPr>
              <m:sty m:val="p"/>
            </m:rPr>
            <m:t>≤</m:t>
          </m:r>
          <m:sSub>
            <m:e>
              <m:r>
                <m:t>K</m:t>
              </m:r>
            </m:e>
            <m:sub>
              <m:r>
                <m:t>p</m:t>
              </m:r>
            </m:sub>
          </m:sSub>
          <m:r>
            <m:rPr>
              <m:sty m:val="p"/>
            </m:rPr>
            <m:t>≤</m:t>
          </m:r>
          <m:r>
            <m:t>3</m:t>
          </m:r>
          <m:r>
            <m:rPr>
              <m:sty m:val="p"/>
            </m:rPr>
            <m:t>,</m:t>
          </m:r>
          <m:r>
            <m:t>36</m:t>
          </m:r>
          <m:r>
            <m:rPr>
              <m:sty m:val="p"/>
            </m:rPr>
            <m:t>,</m:t>
          </m:r>
          <m:r>
            <m:t>  </m:t>
          </m:r>
          <m:r>
            <m:t>3</m:t>
          </m:r>
          <m:r>
            <m:rPr>
              <m:sty m:val="p"/>
            </m:rPr>
            <m:t>,</m:t>
          </m:r>
          <m:r>
            <m:t>0368</m:t>
          </m:r>
          <m:r>
            <m:rPr>
              <m:sty m:val="p"/>
            </m:rPr>
            <m:t>≤</m:t>
          </m:r>
          <m:sSub>
            <m:e>
              <m:r>
                <m:t>K</m:t>
              </m:r>
            </m:e>
            <m:sub>
              <m:r>
                <m:t>i</m:t>
              </m:r>
            </m:sub>
          </m:sSub>
          <m:r>
            <m:rPr>
              <m:sty m:val="p"/>
            </m:rPr>
            <m:t>≤</m:t>
          </m:r>
          <m:r>
            <m:t>14</m:t>
          </m:r>
          <m:r>
            <m:rPr>
              <m:sty m:val="p"/>
            </m:rPr>
            <m:t>,</m:t>
          </m:r>
          <m:r>
            <m:t>144</m:t>
          </m:r>
          <m:r>
            <m:rPr>
              <m:sty m:val="p"/>
            </m:rPr>
            <m:t>.</m:t>
          </m:r>
        </m:oMath>
      </m:oMathPara>
    </w:p>
    <w:p>
      <w:pPr>
        <w:pStyle w:val="FirstParagraph"/>
      </w:pPr>
      <w:r>
        <w:t xml:space="preserve">Rentang tersebut diturunkan dari</w:t>
      </w:r>
      <w:r>
        <w:t xml:space="preserve"> </w:t>
      </w:r>
      <w:r>
        <w:rPr>
          <w:iCs/>
          <w:i/>
        </w:rPr>
        <w:t xml:space="preserve">envelope</w:t>
      </w:r>
      <w:r>
        <w:t xml:space="preserve"> </w:t>
      </w:r>
      <w:r>
        <w:t xml:space="preserve">label supervised yang telah</w:t>
      </w:r>
      <w:r>
        <w:t xml:space="preserve"> </w:t>
      </w:r>
      <w:r>
        <w:t xml:space="preserve">difinalkan sebelum pengujian</w:t>
      </w:r>
      <w:r>
        <w:t xml:space="preserve"> </w:t>
      </w:r>
      <w:r>
        <w:rPr>
          <w:iCs/>
          <w:i/>
        </w:rPr>
        <w:t xml:space="preserve">closed-loop</w:t>
      </w:r>
      <w:r>
        <w:t xml:space="preserve">. Oleh karena itu, istilah</w:t>
      </w:r>
      <w:r>
        <w:t xml:space="preserve"> </w:t>
      </w:r>
      <w:r>
        <w:rPr>
          <w:iCs/>
          <w:i/>
        </w:rPr>
        <w:t xml:space="preserve">admissible</w:t>
      </w:r>
      <w:r>
        <w:t xml:space="preserve"> </w:t>
      </w:r>
      <w:r>
        <w:t xml:space="preserve">digunakan untuk menunjukkan batas operasional yang diterapkan</w:t>
      </w:r>
      <w:r>
        <w:t xml:space="preserve"> </w:t>
      </w:r>
      <w:r>
        <w:t xml:space="preserve">dalam eksperimen, bukan sebagai jaminan kestabilan fisik universal untuk</w:t>
      </w:r>
      <w:r>
        <w:t xml:space="preserve"> </w:t>
      </w:r>
      <w:r>
        <w:t xml:space="preserve">seluruh kemungkinan kondisi PLTMH.</w:t>
      </w:r>
    </w:p>
    <w:p>
      <w:pPr>
        <w:pStyle w:val="BodyText"/>
      </w:pPr>
      <w:r>
        <w:t xml:space="preserve">Kebijakan batas gain yang sama digunakan pada LSTM–PI dan QLSTM–PI.</w:t>
      </w:r>
      <w:r>
        <w:t xml:space="preserve"> </w:t>
      </w:r>
      <w:r>
        <w:t xml:space="preserve">Pemilihan batas, pasangan fallback, serta pembatas laju perubahan gain tidak</w:t>
      </w:r>
      <w:r>
        <w:t xml:space="preserve"> </w:t>
      </w:r>
      <w:r>
        <w:t xml:space="preserve">diubah setelah hasil pengujian</w:t>
      </w:r>
      <w:r>
        <w:t xml:space="preserve"> </w:t>
      </w:r>
      <w:r>
        <w:rPr>
          <w:iCs/>
          <w:i/>
        </w:rPr>
        <w:t xml:space="preserve">closed-loop</w:t>
      </w:r>
      <w:r>
        <w:t xml:space="preserve"> </w:t>
      </w:r>
      <w:r>
        <w:t xml:space="preserve">diketahui.</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pPr>
        <w:pStyle w:val="FirstParagraph"/>
      </w:pPr>
      <w:r>
        <w:t xml:space="preserve">Evaluasi</w:t>
      </w:r>
      <w:r>
        <w:t xml:space="preserve"> </w:t>
      </w:r>
      <w:r>
        <w:rPr>
          <w:iCs/>
          <w:i/>
        </w:rPr>
        <w:t xml:space="preserve">closed-loop</w:t>
      </w:r>
      <w:r>
        <w:t xml:space="preserve"> </w:t>
      </w:r>
      <w:r>
        <w:t xml:space="preserve">akhir menggunakan empat skenario deterministik yang</w:t>
      </w:r>
      <w:r>
        <w:t xml:space="preserve"> </w:t>
      </w:r>
      <w:r>
        <w:t xml:space="preserve">ditetapkan sebelum hasil pengujian diketahui. Setiap skenario dijalankan</w:t>
      </w:r>
      <w:r>
        <w:t xml:space="preserve"> </w:t>
      </w:r>
      <w:r>
        <w:t xml:space="preserve">menggunakan tiga konfigurasi pengendali, yaitu PI gain tetap, LSTM–PI, dan</w:t>
      </w:r>
      <w:r>
        <w:t xml:space="preserve"> </w:t>
      </w:r>
      <w:r>
        <w:t xml:space="preserve">QLSTM–PI, sehingga keseluruhan tahap evaluasi menghasilkan 12</w:t>
      </w:r>
      <w:r>
        <w:t xml:space="preserve"> </w:t>
      </w:r>
      <w:r>
        <w:rPr>
          <w:iCs/>
          <w:i/>
        </w:rPr>
        <w:t xml:space="preserve">run</w:t>
      </w:r>
      <w:r>
        <w:t xml:space="preserve"> </w:t>
      </w:r>
      <w:r>
        <w:t xml:space="preserve">deterministik.</w:t>
      </w:r>
    </w:p>
    <w:p>
      <w:pPr>
        <w:pStyle w:val="BodyText"/>
      </w:pPr>
      <w:r>
        <w:t xml:space="preserve">CL01 dan CL02 merupakan skenario primer pada dua keluarga dinamik uji</w:t>
      </w:r>
      <w:r>
        <w:t xml:space="preserve"> </w:t>
      </w:r>
      <w:r>
        <w:t xml:space="preserve">independen, yaitu D40_L-20 dan D20_L+10. Kedua keluarga tersebut digunakan</w:t>
      </w:r>
      <w:r>
        <w:t xml:space="preserve"> </w:t>
      </w:r>
      <w:r>
        <w:t xml:space="preserve">sebagai unit utama untuk membandingkan ketiga konfigurasi pengendali. CL03</w:t>
      </w:r>
      <w:r>
        <w:t xml:space="preserve"> </w:t>
      </w:r>
      <w:r>
        <w:t xml:space="preserve">diposisikan sebagai</w:t>
      </w:r>
      <w:r>
        <w:t xml:space="preserve"> </w:t>
      </w:r>
      <w:r>
        <w:rPr>
          <w:iCs/>
          <w:i/>
        </w:rPr>
        <w:t xml:space="preserve">boundary stress</w:t>
      </w:r>
      <w:r>
        <w:t xml:space="preserve"> </w:t>
      </w:r>
      <w:r>
        <w:t xml:space="preserve">dan dilaporkan terpisah dari klaim</w:t>
      </w:r>
      <w:r>
        <w:t xml:space="preserve"> </w:t>
      </w:r>
      <w:r>
        <w:t xml:space="preserve">primer. CL04 digunakan sebagai diagnostik dalam distribusi untuk regime G3.</w:t>
      </w:r>
      <w:r>
        <w:t xml:space="preserve"> </w:t>
      </w:r>
      <w:r>
        <w:t xml:space="preserve">Karena G3 tidak mempunyai keluarga uji independen pada pembagian data final,</w:t>
      </w:r>
      <w:r>
        <w:t xml:space="preserve"> </w:t>
      </w:r>
      <w:r>
        <w:t xml:space="preserve">CL04 tidak digunakan sebagai bukti generalisasi independen terhadap G3.</w:t>
      </w:r>
    </w:p>
    <w:p>
      <w:pPr>
        <w:pStyle w:val="BodyText"/>
      </w:pPr>
      <w:r>
        <w:t xml:space="preserve">Gangguan</w:t>
      </w:r>
      <w:r>
        <w:t xml:space="preserve"> </w:t>
      </w:r>
      <w:r>
        <w:rPr>
          <w:iCs/>
          <w:i/>
        </w:rPr>
        <w:t xml:space="preserve">closed-loop</w:t>
      </w:r>
      <w:r>
        <w:t xml:space="preserve"> </w:t>
      </w:r>
      <w:r>
        <w:t xml:space="preserve">diterapkan pada</w:t>
      </w:r>
      <w:r>
        <w:t xml:space="preserve"> </w:t>
      </w:r>
      <m:oMath>
        <m:r>
          <m:t>t</m:t>
        </m:r>
        <m:r>
          <m:rPr>
            <m:sty m:val="p"/>
          </m:rPr>
          <m:t>=</m:t>
        </m:r>
        <m:r>
          <m:t>2</m:t>
        </m:r>
        <m:r>
          <m:rPr>
            <m:sty m:val="p"/>
          </m:rPr>
          <m:t>,</m:t>
        </m:r>
        <m:r>
          <m:t>5</m:t>
        </m:r>
      </m:oMath>
      <w:r>
        <w:t xml:space="preserve"> </w:t>
      </w:r>
      <w:r>
        <w:t xml:space="preserve">s. Scheduler adaptif baru</w:t>
      </w:r>
      <w:r>
        <w:t xml:space="preserve"> </w:t>
      </w:r>
      <w:r>
        <w:t xml:space="preserve">diizinkan melakukan pembaruan gain pertama pada</w:t>
      </w:r>
      <w:r>
        <w:t xml:space="preserve"> </w:t>
      </w:r>
      <m:oMath>
        <m:r>
          <m:t>t</m:t>
        </m:r>
        <m:r>
          <m:rPr>
            <m:sty m:val="p"/>
          </m:rPr>
          <m:t>=</m:t>
        </m:r>
        <m:r>
          <m:t>2</m:t>
        </m:r>
        <m:r>
          <m:rPr>
            <m:sty m:val="p"/>
          </m:rPr>
          <m:t>,</m:t>
        </m:r>
        <m:r>
          <m:t>6</m:t>
        </m:r>
      </m:oMath>
      <w:r>
        <w:t xml:space="preserve"> </w:t>
      </w:r>
      <w:r>
        <w:t xml:space="preserve">s, sedangkan</w:t>
      </w:r>
      <w:r>
        <w:t xml:space="preserve"> </w:t>
      </w:r>
      <w:r>
        <w:t xml:space="preserve">sebelum pembaruan tersebut sistem menggunakan PI gain tetap. Rancangan ini</w:t>
      </w:r>
      <w:r>
        <w:t xml:space="preserve"> </w:t>
      </w:r>
      <w:r>
        <w:t xml:space="preserve">dibekukan sebelum hasil respons ketiga pengendali diketahui.</w:t>
      </w:r>
    </w:p>
    <w:p>
      <w:pPr>
        <w:pStyle w:val="BodyText"/>
      </w:pPr>
      <w:r>
        <w:t xml:space="preserve">Tahap evaluasi primer tidak menggunakan gangguan</w:t>
      </w:r>
      <w:r>
        <w:t xml:space="preserve"> </w:t>
      </w:r>
      <w:r>
        <w:rPr>
          <w:iCs/>
          <w:i/>
        </w:rPr>
        <w:t xml:space="preserve">multi-step</w:t>
      </w:r>
      <w:r>
        <w:t xml:space="preserve">, variasi acak,</w:t>
      </w:r>
      <w:r>
        <w:t xml:space="preserve"> </w:t>
      </w:r>
      <w:r>
        <w:t xml:space="preserve">atau pengulangan stokastik sebagai sumber bukti utama. Simulasi Monte Carlo</w:t>
      </w:r>
      <w:r>
        <w:t xml:space="preserve"> </w:t>
      </w:r>
      <w:r>
        <w:t xml:space="preserve">juga tidak menjadi bagian dari tahap evaluasi primer karena simulator akhir</w:t>
      </w:r>
      <w:r>
        <w:t xml:space="preserve"> </w:t>
      </w:r>
      <w:r>
        <w:t xml:space="preserve">bersifat deterministik dan penelitian tidak menetapkan distribusi</w:t>
      </w:r>
      <w:r>
        <w:t xml:space="preserve"> </w:t>
      </w:r>
      <w:r>
        <w:t xml:space="preserve">probabilistik ketidakpastian plant maupun gangguan. Pengujian Monte Carlo</w:t>
      </w:r>
      <w:r>
        <w:t xml:space="preserve"> </w:t>
      </w:r>
      <w:r>
        <w:t xml:space="preserve">ditempatkan sebagai kemungkinan pengembangan penelitian selanjutnya dengan</w:t>
      </w:r>
      <w:r>
        <w:t xml:space="preserve"> </w:t>
      </w:r>
      <w:r>
        <w:t xml:space="preserve">distribusi ketidakpastian yang harus ditetapkan sebelum eksperimen.</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pPr>
        <w:pStyle w:val="FirstParagraph"/>
      </w:pPr>
      <w:r>
        <w:t xml:space="preserve">Target supervised</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menggunakan</w:t>
      </w:r>
      <w:r>
        <w:t xml:space="preserve"> </w:t>
      </w:r>
      <w:r>
        <w:t xml:space="preserve">simulator PLTMH–ELC dan pencarian grid bertahap. Untuk setiap kondisi operasi</w:t>
      </w:r>
      <w:r>
        <w:t xml:space="preserve"> </w:t>
      </w:r>
      <w:r>
        <w:t xml:space="preserve">yang digunakan dalam pembentukan label, pasangan gain kandidat dievaluasi</w:t>
      </w:r>
      <w:r>
        <w:t xml:space="preserve"> </w:t>
      </w:r>
      <w:r>
        <w:t xml:space="preserve">dengan fungsi objektif yang telah ditetapkan pada tahap pembentukan dataset.</w:t>
      </w:r>
      <w:r>
        <w:t xml:space="preserve"> </w:t>
      </w:r>
      <w:r>
        <w:t xml:space="preserve">Pasangan dengan nilai objektif terbaik digunakan sebagai target gain untuk</w:t>
      </w:r>
      <w:r>
        <w:t xml:space="preserve"> </w:t>
      </w:r>
      <w:r>
        <w:t xml:space="preserve">data temporal yang berasal dari kondisi tersebut.</w:t>
      </w:r>
    </w:p>
    <w:p>
      <w:pPr>
        <w:pStyle w:val="BodyText"/>
      </w:pPr>
      <w:r>
        <w:t xml:space="preserve">Pencarian dilakukan secara deterministik dengan skema coarse-to-fine sehingga</w:t>
      </w:r>
      <w:r>
        <w:t xml:space="preserve"> </w:t>
      </w:r>
      <w:r>
        <w:t xml:space="preserve">eksplorasi awal dilakukan pada grid yang lebih kasar dan dilanjutkan pada</w:t>
      </w:r>
      <w:r>
        <w:t xml:space="preserve"> </w:t>
      </w:r>
      <w:r>
        <w:t xml:space="preserve">daerah kandidat yang lebih relevan. Prosedur ini digunakan untuk menghasilkan</w:t>
      </w:r>
      <w:r>
        <w:t xml:space="preserve"> </w:t>
      </w:r>
      <w:r>
        <w:t xml:space="preserve">target pembelajaran dan tidak berperan sebagai mekanisme adaptasi gain saat</w:t>
      </w:r>
      <w:r>
        <w:t xml:space="preserve"> </w:t>
      </w:r>
      <w:r>
        <w:t xml:space="preserve">simulasi closed-loop.</w:t>
      </w:r>
    </w:p>
    <w:p>
      <w:pPr>
        <w:pStyle w:val="BodyText"/>
      </w:pPr>
      <w:r>
        <w:t xml:space="preserve">Hanya prosedur pencarian grid yang benar-benar dieksekusi dan artefaknya</w:t>
      </w:r>
      <w:r>
        <w:t xml:space="preserve"> </w:t>
      </w:r>
      <w:r>
        <w:t xml:space="preserve">tersimpan yang digunakan sebagai dasar metodologi. Penelitian tidak mengklaim</w:t>
      </w:r>
      <w:r>
        <w:t xml:space="preserve"> </w:t>
      </w:r>
      <w:r>
        <w:t xml:space="preserve">adanya aturan tie-break tambahan berbasis variasi gain tetangga atau margin</w:t>
      </w:r>
      <w:r>
        <w:t xml:space="preserve"> </w:t>
      </w:r>
      <w:r>
        <w:t xml:space="preserve">stabilitas apabila aturan tersebut tidak termasuk dalam prosedur final yang</w:t>
      </w:r>
      <w:r>
        <w:t xml:space="preserve"> </w:t>
      </w:r>
      <w:r>
        <w:t xml:space="preserve">dibekukan. Penelitian juga tidak menyatakan telah melakukan analisis</w:t>
      </w:r>
      <w:r>
        <w:t xml:space="preserve"> </w:t>
      </w:r>
      <w:r>
        <w:t xml:space="preserve">sensitivitas ukuran grid apabila analisis tersebut tidak menjadi bagian dari</w:t>
      </w:r>
      <w:r>
        <w:t xml:space="preserve"> </w:t>
      </w:r>
      <w:r>
        <w:t xml:space="preserve">eksperimen final.</w:t>
      </w:r>
    </w:p>
    <w:p>
      <w:pPr>
        <w:pStyle w:val="BodyText"/>
      </w:pPr>
      <w:r>
        <w:t xml:space="preserve">Envelope gain admissible yang kemudian digunakan oleh scheduler berasal dari</w:t>
      </w:r>
      <w:r>
        <w:t xml:space="preserve"> </w:t>
      </w:r>
      <w:r>
        <w:t xml:space="preserve">ruang label final. Envelope tersebut berfungsi sebagai pembatas operasional</w:t>
      </w:r>
      <w:r>
        <w:t xml:space="preserve"> </w:t>
      </w:r>
      <w:r>
        <w:t xml:space="preserve">eksperimen, bukan sebagai bukti jaminan kestabilan universal.</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pPr>
        <w:pStyle w:val="FirstParagraph"/>
      </w:pPr>
      <w:r>
        <w:t xml:space="preserve">Masukan temporal LSTM dan QLSTM menggunakan empat fitur yang sama, yaitu</w:t>
      </w:r>
      <w:r>
        <w:t xml:space="preserve"> </w:t>
      </w:r>
      <w:r>
        <w:t xml:space="preserve">deviasi frekuensi, daya mekanik, daya elektrik, dan daya beban buangan.</w:t>
      </w:r>
      <w:r>
        <w:t xml:space="preserve"> </w:t>
      </w:r>
      <w:r>
        <w:t xml:space="preserve">Representasi fitur pada satu titik observasi dapat dituliskan sebagai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Setiap sampel pembelajaran berbentuk jendela dengan 11 titik observasi.</w:t>
      </w:r>
      <w:r>
        <w:t xml:space="preserve"> </w:t>
      </w:r>
      <w:r>
        <w:t xml:space="preserve">Frekuensi observasi adalah 20 Hz atau</w:t>
      </w:r>
      <w:r>
        <w:t xml:space="preserve"> </w:t>
      </w:r>
      <m:oMath>
        <m:r>
          <m:t>Δ</m:t>
        </m:r>
        <m:sSub>
          <m:e>
            <m:r>
              <m:t>t</m:t>
            </m:r>
          </m:e>
          <m:sub>
            <m:r>
              <m:rPr>
                <m:sty m:val="p"/>
              </m:rPr>
              <m:t>o</m:t>
            </m:r>
            <m:r>
              <m:rPr>
                <m:sty m:val="p"/>
              </m:rPr>
              <m:t>b</m:t>
            </m:r>
            <m:r>
              <m:rPr>
                <m:sty m:val="p"/>
              </m:rPr>
              <m:t>s</m:t>
            </m:r>
          </m:sub>
        </m:sSub>
        <m:r>
          <m:rPr>
            <m:sty m:val="p"/>
          </m:rPr>
          <m:t>=</m:t>
        </m:r>
        <m:r>
          <m:t>0</m:t>
        </m:r>
        <m:r>
          <m:rPr>
            <m:sty m:val="p"/>
          </m:rPr>
          <m:t>,</m:t>
        </m:r>
        <m:r>
          <m:t>05</m:t>
        </m:r>
      </m:oMath>
      <w:r>
        <w:t xml:space="preserve"> </w:t>
      </w:r>
      <w:r>
        <w:t xml:space="preserve">s,</w:t>
      </w:r>
      <w:r>
        <w:t xml:space="preserve"> </w:t>
      </w:r>
      <w:r>
        <w:t xml:space="preserve">sehingga satu jendela mencakup rentang 0,5 s. Dataset final berisi 17.600</w:t>
      </w:r>
      <w:r>
        <w:t xml:space="preserve"> </w:t>
      </w:r>
      <w:r>
        <w:t xml:space="preserve">jendela supervised dengan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Pemisahan data dilakukan pada tingkat keluarga dinamik, bukan melalui</w:t>
      </w:r>
      <w:r>
        <w:t xml:space="preserve"> </w:t>
      </w:r>
      <w:r>
        <w:t xml:space="preserve">pengacakan baris maupun rasio jumlah skenario. Tujuh keluarga dinamik</w:t>
      </w:r>
      <w:r>
        <w:t xml:space="preserve"> </w:t>
      </w:r>
      <w:r>
        <w:t xml:space="preserve">digunakan untuk pelatihan, dua untuk validasi, dan dua untuk pengujian.</w:t>
      </w:r>
      <w:r>
        <w:t xml:space="preserve"> </w:t>
      </w:r>
      <w:r>
        <w:t xml:space="preserve">Pembagian tersebut menghasilkan masing-masing 11.200, 3.200, dan 3.200</w:t>
      </w:r>
      <w:r>
        <w:t xml:space="preserve"> </w:t>
      </w:r>
      <w:r>
        <w:t xml:space="preserve">jendela. Tidak terdapat</w:t>
      </w:r>
      <w:r>
        <w:t xml:space="preserve"> </w:t>
      </w:r>
      <w:r>
        <w:rPr>
          <w:iCs/>
          <w:i/>
        </w:rPr>
        <w:t xml:space="preserve">family leakage</w:t>
      </w:r>
      <w:r>
        <w:t xml:space="preserve"> </w:t>
      </w:r>
      <w:r>
        <w:t xml:space="preserve">maupun</w:t>
      </w:r>
      <w:r>
        <w:t xml:space="preserve"> </w:t>
      </w:r>
      <w:r>
        <w:rPr>
          <w:iCs/>
          <w:i/>
        </w:rPr>
        <w:t xml:space="preserve">scenario leakage</w:t>
      </w:r>
      <w:r>
        <w:t xml:space="preserve"> </w:t>
      </w:r>
      <w:r>
        <w:t xml:space="preserve">antar</w:t>
      </w:r>
      <w:r>
        <w:t xml:space="preserve"> </w:t>
      </w:r>
      <w:r>
        <w:t xml:space="preserve">kelompok data.</w:t>
      </w:r>
    </w:p>
    <w:p>
      <w:pPr>
        <w:pStyle w:val="BodyText"/>
      </w:pPr>
      <w:r>
        <w:t xml:space="preserve">Standardisasi fitur dan target dihitung hanya menggunakan data latih.</w:t>
      </w:r>
      <w:r>
        <w:t xml:space="preserve"> </w:t>
      </w:r>
      <w:r>
        <w:t xml:space="preserve">Parameter standardisasi yang telah dibekukan kemudian diterapkan pada data</w:t>
      </w:r>
      <w:r>
        <w:t xml:space="preserve"> </w:t>
      </w:r>
      <w:r>
        <w:t xml:space="preserve">validasi dan data uji. Dengan prosedur tersebut, informasi dari keluarga uji</w:t>
      </w:r>
      <w:r>
        <w:t xml:space="preserve"> </w:t>
      </w:r>
      <w:r>
        <w:t xml:space="preserve">tidak digunakan untuk menentukan parameter prapengolahan atau pemilihan model.</w:t>
      </w:r>
    </w:p>
    <w:p>
      <w:pPr>
        <w:pStyle w:val="BodyText"/>
      </w:pPr>
      <w:r>
        <w:t xml:space="preserve">Regime gain G1, G2, dan G3 terdapat pada data pelatihan, sedangkan keluarga</w:t>
      </w:r>
      <w:r>
        <w:t xml:space="preserve"> </w:t>
      </w:r>
      <w:r>
        <w:t xml:space="preserve">validasi dan pengujian independen hanya mencakup G1 dan G2. Oleh karena itu,</w:t>
      </w:r>
      <w:r>
        <w:t xml:space="preserve"> </w:t>
      </w:r>
      <w:r>
        <w:t xml:space="preserve">klaim generalisasi</w:t>
      </w:r>
      <w:r>
        <w:t xml:space="preserve"> </w:t>
      </w:r>
      <w:r>
        <w:rPr>
          <w:iCs/>
          <w:i/>
        </w:rPr>
        <w:t xml:space="preserve">held-out</w:t>
      </w:r>
      <w:r>
        <w:t xml:space="preserve"> </w:t>
      </w:r>
      <w:r>
        <w:t xml:space="preserve">dibatasi pada keluarga G1/G2. Regime G3 tidak</w:t>
      </w:r>
      <w:r>
        <w:t xml:space="preserve"> </w:t>
      </w:r>
      <w:r>
        <w:t xml:space="preserve">mempunyai keluarga uji independen dan hanya dianalisis melalui diagnostik</w:t>
      </w:r>
      <w:r>
        <w:t xml:space="preserve"> </w:t>
      </w:r>
      <w:r>
        <w:t xml:space="preserve">dalam distribusi. Skenario</w:t>
      </w:r>
      <w:r>
        <w:t xml:space="preserve"> </w:t>
      </w:r>
      <w:r>
        <w:rPr>
          <w:iCs/>
          <w:i/>
        </w:rPr>
        <w:t xml:space="preserve">boundary stress</w:t>
      </w:r>
      <w:r>
        <w:t xml:space="preserve"> </w:t>
      </w:r>
      <w:r>
        <w:t xml:space="preserve">tidak dimasukkan ke tensor</w:t>
      </w:r>
      <w:r>
        <w:t xml:space="preserve"> </w:t>
      </w:r>
      <w:r>
        <w:t xml:space="preserve">supervised final.</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pPr>
        <w:pStyle w:val="FirstParagraph"/>
      </w:pPr>
      <w:r>
        <w:t xml:space="preserve">LSTM dan QLSTM dikembangkan menggunakan masukan temporal, target gain, split</w:t>
      </w:r>
      <w:r>
        <w:t xml:space="preserve"> </w:t>
      </w:r>
      <w:r>
        <w:t xml:space="preserve">keluarga dinamik, serta prosedur standardisasi yang sama agar perbandingan</w:t>
      </w:r>
      <w:r>
        <w:t xml:space="preserve"> </w:t>
      </w:r>
      <w:r>
        <w:t xml:space="preserve">kedua model tidak dipengaruhi oleh perbedaan informasi masukan. Setiap jendela</w:t>
      </w:r>
      <w:r>
        <w:t xml:space="preserve"> </w:t>
      </w:r>
      <w:r>
        <w:t xml:space="preserve">berisi 11 titik observasi dari empat fitur, yaitu deviasi frekuensi, daya</w:t>
      </w:r>
      <w:r>
        <w:t xml:space="preserve"> </w:t>
      </w:r>
      <w:r>
        <w:t xml:space="preserve">mekanik, daya elektrik, dan daya beban buangan. Target model adalah</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telah dibentuk melalui pencarian grid luring.</w:t>
      </w:r>
    </w:p>
    <w:p>
      <w:pPr>
        <w:pStyle w:val="BodyText"/>
      </w:pPr>
      <w:r>
        <w:t xml:space="preserve">Standardisasi fitur dan target dihitung hanya dari data latih. Kedua model</w:t>
      </w:r>
      <w:r>
        <w:t xml:space="preserve"> </w:t>
      </w:r>
      <w:r>
        <w:t xml:space="preserve">mempelajari target pada ruang yang telah distandardisasi dan menghasilkan dua</w:t>
      </w:r>
      <w:r>
        <w:t xml:space="preserve"> </w:t>
      </w:r>
      <w:r>
        <w:t xml:space="preserve">keluaran regresi. Keluaran model tidak langsung dianggap sebagai gain aman.</w:t>
      </w:r>
      <w:r>
        <w:t xml:space="preserve"> </w:t>
      </w:r>
      <w:r>
        <w:t xml:space="preserve">Setelah inverse target scaling, kebijakan scheduler melakukan pemeriksaan nilai</w:t>
      </w:r>
      <w:r>
        <w:t xml:space="preserve"> </w:t>
      </w:r>
      <w:r>
        <w:t xml:space="preserve">berhingga, clipping pada envelope gain admissible, dan pembatasan laju</w:t>
      </w:r>
      <w:r>
        <w:t xml:space="preserve"> </w:t>
      </w:r>
      <w:r>
        <w:t xml:space="preserve">perubahan sebelum gain diterapkan pada PI.</w:t>
      </w:r>
    </w:p>
    <w:p>
      <w:pPr>
        <w:pStyle w:val="BodyText"/>
      </w:pPr>
      <w:r>
        <w:t xml:space="preserve">LSTM diimplementasikan menggunakan PyTorch. QLSTM direalisasikan sebagai model</w:t>
      </w:r>
      <w:r>
        <w:t xml:space="preserve"> </w:t>
      </w:r>
      <w:r>
        <w:t xml:space="preserve">hybrid quantum–classical berbasis PennyLane dengan empat qubit, kedalaman VQC</w:t>
      </w:r>
      <w:r>
        <w:t xml:space="preserve"> </w:t>
      </w:r>
      <w:r>
        <w:t xml:space="preserve">satu lapisan, keadaan tersembunyi berdimensi empat, dan kepala regresi akhir</w:t>
      </w:r>
      <w:r>
        <w:t xml:space="preserve"> </w:t>
      </w:r>
      <w:r>
        <w:t xml:space="preserve">berstruktur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Implementasi QLSTM akhir dijalankan pada CPU dan tidak menggunakan perangkat</w:t>
      </w:r>
      <w:r>
        <w:t xml:space="preserve"> </w:t>
      </w:r>
      <w:r>
        <w:t xml:space="preserve">keras kuantum.</w:t>
      </w:r>
    </w:p>
    <w:p>
      <w:pPr>
        <w:pStyle w:val="BodyText"/>
      </w:pPr>
      <w:r>
        <w:t xml:space="preserve">Protokol final LSTM dan QLSTM masing-masing menggunakan seed tetap 20260909.</w:t>
      </w:r>
      <w:r>
        <w:t xml:space="preserve"> </w:t>
      </w:r>
      <w:r>
        <w:t xml:space="preserve">Pelatihan multi-seed tidak digunakan sebagai dasar estimasi ketidakpastian</w:t>
      </w:r>
      <w:r>
        <w:t xml:space="preserve"> </w:t>
      </w:r>
      <w:r>
        <w:t xml:space="preserve">hasil akhir. Setelah model final dibekukan, tidak dilakukan pelatihan ulang</w:t>
      </w:r>
      <w:r>
        <w:t xml:space="preserve"> </w:t>
      </w:r>
      <w:r>
        <w:t xml:space="preserve">berdasarkan hasil closed-loop dan tidak dilakukan pemilihan ulang konfigurasi</w:t>
      </w:r>
      <w:r>
        <w:t xml:space="preserve"> </w:t>
      </w:r>
      <w:r>
        <w:t xml:space="preserve">untuk memperbaiki hasil pengujian.</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pPr>
        <w:pStyle w:val="FirstParagraph"/>
      </w:pPr>
      <w:r>
        <w:t xml:space="preserve">LSTM dan QLSTM diintegrasikan sebagai penjadwal gain pada tingkat supervisori,</w:t>
      </w:r>
      <w:r>
        <w:t xml:space="preserve"> </w:t>
      </w:r>
      <w:r>
        <w:t xml:space="preserve">sedangkan pengendali PI tetap menghasilkan sinyal kendali ELC. Kedua model</w:t>
      </w:r>
      <w:r>
        <w:t xml:space="preserve"> </w:t>
      </w:r>
      <w:r>
        <w:t xml:space="preserve">menerima jendela observasi dengan struktur, scaler, batas gain, fallback,</w:t>
      </w:r>
      <w:r>
        <w:t xml:space="preserve"> </w:t>
      </w:r>
      <w:r>
        <w:t xml:space="preserve">pembatas laju, dan frekuensi pembaruan yang sama.</w:t>
      </w:r>
    </w:p>
    <w:p>
      <w:pPr>
        <w:pStyle w:val="BodyText"/>
      </w:pPr>
      <w:r>
        <w:t xml:space="preserve">Observasi kondisi sistem dilakukan pada 20 Hz. Satu pembaruan gain dilakukan</w:t>
      </w:r>
      <w:r>
        <w:t xml:space="preserve"> </w:t>
      </w:r>
      <w:r>
        <w:t xml:space="preserve">setelah dua observasi sehingga frekuensi pembaruan scheduler adalah 10 Hz atau</w:t>
      </w:r>
      <w:r>
        <w:t xml:space="preserve"> </w:t>
      </w:r>
      <m:oMath>
        <m:r>
          <m:t>Δ</m:t>
        </m:r>
        <m:sSub>
          <m:e>
            <m:r>
              <m:t>t</m:t>
            </m:r>
          </m:e>
          <m:sub>
            <m:r>
              <m:t>u</m:t>
            </m:r>
          </m:sub>
        </m:sSub>
        <m:r>
          <m:rPr>
            <m:sty m:val="p"/>
          </m:rPr>
          <m:t>=</m:t>
        </m:r>
        <m:r>
          <m:t>0</m:t>
        </m:r>
        <m:r>
          <m:rPr>
            <m:sty m:val="p"/>
          </m:rPr>
          <m:t>,</m:t>
        </m:r>
        <m:r>
          <m:t>1</m:t>
        </m:r>
      </m:oMath>
      <w:r>
        <w:t xml:space="preserve"> </w:t>
      </w:r>
      <w:r>
        <w:t xml:space="preserve">s. Di antara dua pembaruan, gain terakhir dipertahankan</w:t>
      </w:r>
      <w:r>
        <w:t xml:space="preserve"> </w:t>
      </w:r>
      <w:r>
        <w:t xml:space="preserve">dengan</w:t>
      </w:r>
      <w:r>
        <w:t xml:space="preserve"> </w:t>
      </w:r>
      <w:r>
        <w:rPr>
          <w:iCs/>
          <w:i/>
        </w:rPr>
        <w:t xml:space="preserve">zero-order hold</w:t>
      </w:r>
      <w:r>
        <w:t xml:space="preserve">.</w:t>
      </w:r>
    </w:p>
    <w:p>
      <w:pPr>
        <w:pStyle w:val="BodyText"/>
      </w:pPr>
      <w:r>
        <w:t xml:space="preserve">Urutan pemrosesan scheduler dibekukan sebagai berikut:</w:t>
      </w:r>
    </w:p>
    <w:p>
      <w:pPr>
        <w:pStyle w:val="BodyText"/>
      </w:pPr>
      <w:r>
        <w:t xml:space="preserve">1. membentuk jendela observasi mentah;</w:t>
      </w:r>
    </w:p>
    <w:p>
      <w:pPr>
        <w:pStyle w:val="BodyText"/>
      </w:pPr>
      <w:r>
        <w:t xml:space="preserve">2. melakukan standardisasi fitur menggunakan scaler data latih;</w:t>
      </w:r>
    </w:p>
    <w:p>
      <w:pPr>
        <w:pStyle w:val="BodyText"/>
      </w:pPr>
      <w:r>
        <w:t xml:space="preserve">3. menjalankan inferensi model beku;</w:t>
      </w:r>
    </w:p>
    <w:p>
      <w:pPr>
        <w:pStyle w:val="BodyText"/>
      </w:pPr>
      <w:r>
        <w:t xml:space="preserve">4. mengembalikan keluaran dari skala target ke satuan fisik;</w:t>
      </w:r>
    </w:p>
    <w:p>
      <w:pPr>
        <w:pStyle w:val="BodyText"/>
      </w:pPr>
      <w:r>
        <w:t xml:space="preserve">5. memeriksa keterhinggaan keluaran;</w:t>
      </w:r>
    </w:p>
    <w:p>
      <w:pPr>
        <w:pStyle w:val="BodyText"/>
      </w:pPr>
      <w:r>
        <w:t xml:space="preserve">6. melakukan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p>
    <w:p>
      <w:pPr>
        <w:pStyle w:val="BodyText"/>
      </w:pPr>
      <w:r>
        <w:t xml:space="preserve">7. membatasi laju perubahan gain; dan</w:t>
      </w:r>
    </w:p>
    <w:p>
      <w:pPr>
        <w:pStyle w:val="BodyText"/>
      </w:pPr>
      <w:r>
        <w:t xml:space="preserve">8. menerapkan gain ke pengendali PI.</w:t>
      </w:r>
    </w:p>
    <w:p>
      <w:pPr>
        <w:pStyle w:val="BodyText"/>
      </w:pPr>
      <w:r>
        <w:t xml:space="preserve">Laju perubahan maksimum</w:t>
      </w:r>
      <w:r>
        <w:t xml:space="preserve"> </w:t>
      </w:r>
      <m:oMath>
        <m:sSub>
          <m:e>
            <m:r>
              <m:t>K</m:t>
            </m:r>
          </m:e>
          <m:sub>
            <m:r>
              <m:t>p</m:t>
            </m:r>
          </m:sub>
        </m:sSub>
      </m:oMath>
      <w:r>
        <w:t xml:space="preserve"> </w:t>
      </w:r>
      <w:r>
        <w:t xml:space="preserve">adalah 1,2 per detik atau 0,12 per pembaruan,</w:t>
      </w:r>
      <w:r>
        <w:t xml:space="preserve"> </w:t>
      </w:r>
      <w:r>
        <w:t xml:space="preserve">sedangkan laju perubahan maksimum</w:t>
      </w:r>
      <w:r>
        <w:t xml:space="preserve"> </w:t>
      </w:r>
      <m:oMath>
        <m:sSub>
          <m:e>
            <m:r>
              <m:t>K</m:t>
            </m:r>
          </m:e>
          <m:sub>
            <m:r>
              <m:t>i</m:t>
            </m:r>
          </m:sub>
        </m:sSub>
      </m:oMath>
      <w:r>
        <w:t xml:space="preserve"> </w:t>
      </w:r>
      <w:r>
        <w:t xml:space="preserve">adalah 11,1072 per detik atau</w:t>
      </w:r>
      <w:r>
        <w:t xml:space="preserve"> </w:t>
      </w:r>
      <w:r>
        <w:t xml:space="preserve">1,11072 per pembaruan. Jika inferensi gagal atau menghasilkan nilai tidak</w:t>
      </w:r>
      <w:r>
        <w:t xml:space="preserve"> </w:t>
      </w:r>
      <w:r>
        <w:t xml:space="preserve">berhingga, scheduler menggunakan pasangan fallback</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w:t>
      </w:r>
      <w:r>
        <w:t xml:space="preserve">melalui pembatas laju yang sama.</w:t>
      </w:r>
    </w:p>
    <w:p>
      <w:pPr>
        <w:pStyle w:val="BodyText"/>
      </w:pPr>
      <w:r>
        <w:t xml:space="preserve">Tidak digunakan</w:t>
      </w:r>
      <w:r>
        <w:t xml:space="preserve"> </w:t>
      </w:r>
      <w:r>
        <w:rPr>
          <w:iCs/>
          <w:i/>
        </w:rPr>
        <w:t xml:space="preserve">exponential smoothing</w:t>
      </w:r>
      <w:r>
        <w:t xml:space="preserve"> </w:t>
      </w:r>
      <w:r>
        <w:t xml:space="preserve">pada keluaran LSTM maupun QLSTM.</w:t>
      </w:r>
      <w:r>
        <w:t xml:space="preserve"> </w:t>
      </w:r>
      <w:r>
        <w:t xml:space="preserve">Seluruh aturan scheduler tersebut ditetapkan sebelum hasil</w:t>
      </w:r>
      <w:r>
        <w:t xml:space="preserve"> </w:t>
      </w:r>
      <w:r>
        <w:rPr>
          <w:iCs/>
          <w:i/>
        </w:rPr>
        <w:t xml:space="preserve">closed-loop</w:t>
      </w:r>
      <w:r>
        <w:t xml:space="preserve"> </w:t>
      </w:r>
      <w:r>
        <w:t xml:space="preserve">diperoleh dan tidak diubah berdasarkan kinerja pengujian.</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pPr>
        <w:pStyle w:val="FirstParagraph"/>
      </w:pPr>
      <w:r>
        <w:t xml:space="preserve">Analisis dilakukan pada tingkat model dan tingkat sistem kendali. Pada tingkat</w:t>
      </w:r>
      <w:r>
        <w:t xml:space="preserve"> </w:t>
      </w:r>
      <w:r>
        <w:t xml:space="preserve">model, galat estimasi gain pada data uji digunakan untuk mendeskripsikan</w:t>
      </w:r>
      <w:r>
        <w:t xml:space="preserve"> </w:t>
      </w:r>
      <w:r>
        <w:t xml:space="preserve">kemampuan LSTM dan QLSTM mempelajari pemetaan jendela temporal menuju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Hasil tingkat model dilaporkan terpisah dari kinerja</w:t>
      </w:r>
      <w:r>
        <w:t xml:space="preserve"> </w:t>
      </w:r>
      <w:r>
        <w:rPr>
          <w:iCs/>
          <w:i/>
        </w:rPr>
        <w:t xml:space="preserve">closed-loop</w:t>
      </w:r>
      <w:r>
        <w:t xml:space="preserve"> </w:t>
      </w:r>
      <w:r>
        <w:t xml:space="preserve">karena galat estimasi gain tidak diasumsikan mempunyai hubungan</w:t>
      </w:r>
      <w:r>
        <w:t xml:space="preserve"> </w:t>
      </w:r>
      <w:r>
        <w:t xml:space="preserve">proporsional langsung dengan kualitas respons frekuensi.</w:t>
      </w:r>
    </w:p>
    <w:p>
      <w:pPr>
        <w:pStyle w:val="BodyText"/>
      </w:pPr>
      <w:r>
        <w:t xml:space="preserve">Pada tingkat</w:t>
      </w:r>
      <w:r>
        <w:t xml:space="preserve"> </w:t>
      </w:r>
      <w:r>
        <w:rPr>
          <w:iCs/>
          <w:i/>
        </w:rPr>
        <w:t xml:space="preserve">closed-loop</w:t>
      </w:r>
      <w:r>
        <w:t xml:space="preserve">, metrik primer adalah RMSE deviasi frekuensi pada</w:t>
      </w:r>
      <w:r>
        <w:t xml:space="preserve"> </w:t>
      </w:r>
      <w:r>
        <w:t xml:space="preserve">interval pascagangguan. Analisis primer menggunakan keluarga dinamik sebagai</w:t>
      </w:r>
      <w:r>
        <w:t xml:space="preserve"> </w:t>
      </w:r>
      <w:r>
        <w:t xml:space="preserve">unit agregasi. Hasil dilaporkan untuk setiap keluarga secara individual dan</w:t>
      </w:r>
      <w:r>
        <w:t xml:space="preserve"> </w:t>
      </w:r>
      <w:r>
        <w:t xml:space="preserve">dapat diringkas menggunakan rerata keluarga tidak berbobot.</w:t>
      </w:r>
    </w:p>
    <w:p>
      <w:pPr>
        <w:pStyle w:val="BodyText"/>
      </w:pPr>
      <w:r>
        <w:t xml:space="preserve">Simpangan frekuensi maksimum, RoCoF maksimum, waktu tunak, galat frekuensi</w:t>
      </w:r>
      <w:r>
        <w:t xml:space="preserve"> </w:t>
      </w:r>
      <w:r>
        <w:t xml:space="preserve">akhir, aktivitas beban buangan, variasi total duty, lintasan gain, kejadian</w:t>
      </w:r>
      <w:r>
        <w:t xml:space="preserve"> </w:t>
      </w:r>
      <w:r>
        <w:t xml:space="preserve">saturasi atau fallback, serta beban komputasi digunakan sebagai indikator</w:t>
      </w:r>
      <w:r>
        <w:t xml:space="preserve"> </w:t>
      </w:r>
      <w:r>
        <w:t xml:space="preserve">pendukung. Indikator tersebut membantu menjelaskan mekanisme respons tetapi</w:t>
      </w:r>
      <w:r>
        <w:t xml:space="preserve"> </w:t>
      </w:r>
      <w:r>
        <w:t xml:space="preserve">tidak menggantikan RMSE deviasi frekuensi sebagai metrik primer.</w:t>
      </w:r>
    </w:p>
    <w:p>
      <w:pPr>
        <w:pStyle w:val="BodyText"/>
      </w:pPr>
      <w:r>
        <w:t xml:space="preserve">Jumlah keluarga dinamik uji primer independen hanya dua. Oleh karena itu,</w:t>
      </w:r>
      <w:r>
        <w:t xml:space="preserve"> </w:t>
      </w:r>
      <w:r>
        <w:t xml:space="preserve">penelitian tidak melakukan</w:t>
      </w:r>
      <w:r>
        <w:t xml:space="preserve"> </w:t>
      </w:r>
      <w:r>
        <w:rPr>
          <w:iCs/>
          <w:i/>
        </w:rPr>
        <w:t xml:space="preserve">paired t-test</w:t>
      </w:r>
      <w:r>
        <w:t xml:space="preserve">, Wilcoxon</w:t>
      </w:r>
      <w:r>
        <w:t xml:space="preserve"> </w:t>
      </w:r>
      <w:r>
        <w:rPr>
          <w:iCs/>
          <w:i/>
        </w:rPr>
        <w:t xml:space="preserve">signed-rank test</w:t>
      </w:r>
      <w:r>
        <w:t xml:space="preserve">,</w:t>
      </w:r>
      <w:r>
        <w:t xml:space="preserve"> </w:t>
      </w:r>
      <w:r>
        <w:t xml:space="preserve">pengujian signifikansi pada tingkat keluarga, interval kepercayaan 95%,</w:t>
      </w:r>
      <w:r>
        <w:t xml:space="preserve"> </w:t>
      </w:r>
      <w:r>
        <w:t xml:space="preserve">ukuran efek inferensial, maupun koreksi perbandingan berganda untuk</w:t>
      </w:r>
      <w:r>
        <w:t xml:space="preserve"> </w:t>
      </w:r>
      <w:r>
        <w:t xml:space="preserve">menyatakan superioritas salah satu pengendali. Titik-titik waktu hasil</w:t>
      </w:r>
      <w:r>
        <w:t xml:space="preserve"> </w:t>
      </w:r>
      <w:r>
        <w:t xml:space="preserve">integrasi numerik juga tidak diperlakukan sebagai replikasi statistik</w:t>
      </w:r>
      <w:r>
        <w:t xml:space="preserve"> </w:t>
      </w:r>
      <w:r>
        <w:t xml:space="preserve">independen.</w:t>
      </w:r>
    </w:p>
    <w:p>
      <w:pPr>
        <w:pStyle w:val="BodyText"/>
      </w:pPr>
      <w:r>
        <w:t xml:space="preserve">Analisis sensitivitas multi-parameter terhadap panjang jendela, interval</w:t>
      </w:r>
      <w:r>
        <w:t xml:space="preserve"> </w:t>
      </w:r>
      <w:r>
        <w:t xml:space="preserve">pembaruan, faktor smoothing, jumlah qubit, atau kedalaman VQC tidak menjadi</w:t>
      </w:r>
      <w:r>
        <w:t xml:space="preserve"> </w:t>
      </w:r>
      <w:r>
        <w:t xml:space="preserve">bagian dari evaluasi akhir yang dibekukan. Analisis tersebut ditempatkan</w:t>
      </w:r>
      <w:r>
        <w:t xml:space="preserve"> </w:t>
      </w:r>
      <w:r>
        <w:t xml:space="preserve">sebagai rekomendasi penelitian selanjutnya dan tidak digunakan untuk</w:t>
      </w:r>
      <w:r>
        <w:t xml:space="preserve"> </w:t>
      </w:r>
      <w:r>
        <w:t xml:space="preserve">memilih kembali konfigurasi setelah hasil uji diketahui.</w:t>
      </w:r>
    </w:p>
    <w:p>
      <w:pPr>
        <w:pStyle w:val="BodyText"/>
      </w:pPr>
      <w:r>
        <w:t xml:space="preserve">Simulasi Monte Carlo tidak dilakukan pada tahap evaluasi primer. Evaluasi</w:t>
      </w:r>
      <w:r>
        <w:t xml:space="preserve"> </w:t>
      </w:r>
      <w:r>
        <w:t xml:space="preserve">akhir menggunakan empat skenario deterministik dan tiga konfigurasi</w:t>
      </w:r>
      <w:r>
        <w:t xml:space="preserve"> </w:t>
      </w:r>
      <w:r>
        <w:t xml:space="preserve">pengendali sehingga menghasilkan 12</w:t>
      </w:r>
      <w:r>
        <w:t xml:space="preserve"> </w:t>
      </w:r>
      <w:r>
        <w:rPr>
          <w:iCs/>
          <w:i/>
        </w:rPr>
        <w:t xml:space="preserve">run</w:t>
      </w:r>
      <w:r>
        <w:t xml:space="preserve">. Analisis ketidakpastian stokastik</w:t>
      </w:r>
      <w:r>
        <w:t xml:space="preserve"> </w:t>
      </w:r>
      <w:r>
        <w:t xml:space="preserve">melalui Monte Carlo dapat dikembangkan pada penelitian selanjutnya setelah</w:t>
      </w:r>
      <w:r>
        <w:t xml:space="preserve"> </w:t>
      </w:r>
      <w:r>
        <w:t xml:space="preserve">distribusi probabilistik ketidakpastian plant, gangguan, atau pengukuran</w:t>
      </w:r>
      <w:r>
        <w:t xml:space="preserve"> </w:t>
      </w:r>
      <w:r>
        <w:t xml:space="preserve">ditetapkan sebelum eksperimen.</w:t>
      </w:r>
    </w:p>
    <w:p>
      <w:pPr>
        <w:pStyle w:val="BodyText"/>
      </w:pPr>
      <w:r>
        <w:t xml:space="preserve">Setelah hasil pengujian tersedia, tidak dilakukan pelatihan ulang model,</w:t>
      </w:r>
      <w:r>
        <w:t xml:space="preserve"> </w:t>
      </w:r>
      <w:r>
        <w:t xml:space="preserve">pemilihan ulang skenario primer, maupun perubahan aturan scheduler.</w:t>
      </w:r>
      <w:r>
        <w:t xml:space="preserve"> </w:t>
      </w:r>
      <w:r>
        <w:t xml:space="preserve">Kesimpulan ditarik secara deskriptif berdasarkan bukti yang dihasilkan oleh</w:t>
      </w:r>
      <w:r>
        <w:t xml:space="preserve"> </w:t>
      </w:r>
      <w:r>
        <w:t xml:space="preserve">protokol yang telah dibekukan.</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pPr>
        <w:pStyle w:val="FirstParagraph"/>
      </w:pPr>
      <w:r>
        <w:t xml:space="preserve">Keberhasilan penelitian ditentukan oleh keterlaksanaan metodologi secara</w:t>
      </w:r>
      <w:r>
        <w:t xml:space="preserve"> </w:t>
      </w:r>
      <w:r>
        <w:t xml:space="preserve">konsisten dan dapat ditelusuri, bukan oleh kewajiban QLSTM menghasilkan</w:t>
      </w:r>
      <w:r>
        <w:t xml:space="preserve"> </w:t>
      </w:r>
      <w:r>
        <w:t xml:space="preserve">kinerja yang lebih baik daripada seluruh pembanding. Kriteria metodologis</w:t>
      </w:r>
      <w:r>
        <w:t xml:space="preserve"> </w:t>
      </w:r>
      <w:r>
        <w:t xml:space="preserve">meliputi terbentuknya model PLTMH–ELC yang tervalidasi untuk scope penelitian,</w:t>
      </w:r>
      <w:r>
        <w:t xml:space="preserve"> </w:t>
      </w:r>
      <w:r>
        <w:t xml:space="preserve">tersedianya target gain dan dataset temporal tanpa leakage antar keluarga,</w:t>
      </w:r>
      <w:r>
        <w:t xml:space="preserve"> </w:t>
      </w:r>
      <w:r>
        <w:t xml:space="preserve">berhasilnya pelatihan LSTM dan QLSTM dengan kontrak data yang sama, serta</w:t>
      </w:r>
      <w:r>
        <w:t xml:space="preserve"> </w:t>
      </w:r>
      <w:r>
        <w:t xml:space="preserve">terintegrasinya kedua model sebagai scheduler gain pada simulasi closed-loop.</w:t>
      </w:r>
    </w:p>
    <w:p>
      <w:pPr>
        <w:pStyle w:val="BodyText"/>
      </w:pPr>
      <w:r>
        <w:t xml:space="preserve">Tahap evaluasi dianggap berhasil apabila PI gain tetap, LSTM–PI, dan QLSTM–PI</w:t>
      </w:r>
      <w:r>
        <w:t xml:space="preserve"> </w:t>
      </w:r>
      <w:r>
        <w:t xml:space="preserve">dapat dibandingkan menggunakan protokol yang sama dan metrik yang telah</w:t>
      </w:r>
      <w:r>
        <w:t xml:space="preserve"> </w:t>
      </w:r>
      <w:r>
        <w:t xml:space="preserve">dibekukan. RMSE deviasi frekuensi digunakan sebagai metrik primer, sedangkan</w:t>
      </w:r>
      <w:r>
        <w:t xml:space="preserve"> </w:t>
      </w:r>
      <w:r>
        <w:t xml:space="preserve">indikator dinamik dan beban komputasi digunakan untuk memperkaya interpretasi.</w:t>
      </w:r>
    </w:p>
    <w:p>
      <w:pPr>
        <w:pStyle w:val="BodyText"/>
      </w:pPr>
      <w:r>
        <w:t xml:space="preserve">Penelitian tidak mensyaratkan superioritas QLSTM sebagai kriteria keberhasilan.</w:t>
      </w:r>
      <w:r>
        <w:t xml:space="preserve"> </w:t>
      </w:r>
      <w:r>
        <w:t xml:space="preserve">Apabila QLSTM menunjukkan hasil setara atau lebih rendah dibandingkan LSTM</w:t>
      </w:r>
      <w:r>
        <w:t xml:space="preserve"> </w:t>
      </w:r>
      <w:r>
        <w:t xml:space="preserve">maupun PI gain tetap, hasil tersebut tetap merupakan temuan empiris yang sah</w:t>
      </w:r>
      <w:r>
        <w:t xml:space="preserve"> </w:t>
      </w:r>
      <w:r>
        <w:t xml:space="preserve">dan harus dilaporkan. Karena hanya terdapat dua keluarga dinamik uji primer</w:t>
      </w:r>
      <w:r>
        <w:t xml:space="preserve"> </w:t>
      </w:r>
      <w:r>
        <w:t xml:space="preserve">independen, tidak digunakan signifikansi statistik untuk menetapkan</w:t>
      </w:r>
      <w:r>
        <w:t xml:space="preserve"> </w:t>
      </w:r>
      <w:r>
        <w:t xml:space="preserve">keberhasilan atau superioritas salah satu pengendali.</w:t>
      </w:r>
    </w:p>
    <w:p>
      <w:pPr>
        <w:pStyle w:val="BodyText"/>
      </w:pPr>
      <w:r>
        <w:t xml:space="preserve">Kesimpulan akhir juga harus mempertahankan batas generalisasi. Regime G3 tidak</w:t>
      </w:r>
      <w:r>
        <w:t xml:space="preserve"> </w:t>
      </w:r>
      <w:r>
        <w:t xml:space="preserve">memiliki keluarga uji independen sehingga hasil pada CL04 hanya diperlakukan</w:t>
      </w:r>
      <w:r>
        <w:t xml:space="preserve"> </w:t>
      </w:r>
      <w:r>
        <w:t xml:space="preserve">sebagai diagnostik dalam distribusi dan bukan bukti generalisasi independen</w:t>
      </w:r>
      <w:r>
        <w:t xml:space="preserve"> </w:t>
      </w:r>
      <w:r>
        <w:t xml:space="preserve">terhadap G3.</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pPr>
        <w:pStyle w:val="FirstParagraph"/>
      </w:pPr>
      <w:r>
        <w:t xml:space="preserve">Alur penelitian dimulai dengan penetapan spesifikasi dan validasi model</w:t>
      </w:r>
      <w:r>
        <w:t xml:space="preserve"> </w:t>
      </w:r>
      <w:r>
        <w:t xml:space="preserve">PLTMH–ELC sesuai scope simulasi akhir. PI gain tetap kemudian ditetapkan</w:t>
      </w:r>
      <w:r>
        <w:t xml:space="preserve"> </w:t>
      </w:r>
      <w:r>
        <w:t xml:space="preserve">sebagai baseline dan fallback, sedangkan ruang label digunakan untuk membentuk</w:t>
      </w:r>
      <w:r>
        <w:t xml:space="preserve"> </w:t>
      </w:r>
      <w:r>
        <w:t xml:space="preserve">envelope gain admissible yang akan diterapkan secara konsisten selama</w:t>
      </w:r>
      <w:r>
        <w:t xml:space="preserve"> </w:t>
      </w:r>
      <w:r>
        <w:t xml:space="preserve">evaluasi.</w:t>
      </w:r>
    </w:p>
    <w:p>
      <w:pPr>
        <w:pStyle w:val="BodyText"/>
      </w:pPr>
      <w:r>
        <w:t xml:space="preserve">Tahap berikutnya membentuk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melalui pencarian</w:t>
      </w:r>
      <w:r>
        <w:t xml:space="preserve"> </w:t>
      </w:r>
      <w:r>
        <w:t xml:space="preserve">grid bertahap secara luring. Hasil simulasi kemudian diubah menjadi dataset</w:t>
      </w:r>
      <w:r>
        <w:t xml:space="preserve"> </w:t>
      </w:r>
      <w:r>
        <w:t xml:space="preserve">temporal empat fitur menggunakan jendela 11 observasi pada 20 Hz. Dataset</w:t>
      </w:r>
      <w:r>
        <w:t xml:space="preserve"> </w:t>
      </w:r>
      <w:r>
        <w:t xml:space="preserve">dipisahkan pada tingkat keluarga dinamik dengan komposisi tujuh keluarga untuk</w:t>
      </w:r>
      <w:r>
        <w:t xml:space="preserve"> </w:t>
      </w:r>
      <w:r>
        <w:t xml:space="preserve">pelatihan, dua untuk validasi, dan dua untuk pengujian. Standardisasi fitur dan</w:t>
      </w:r>
      <w:r>
        <w:t xml:space="preserve"> </w:t>
      </w:r>
      <w:r>
        <w:t xml:space="preserve">target dihitung hanya dari data latih untuk mencegah leakage.</w:t>
      </w:r>
    </w:p>
    <w:p>
      <w:pPr>
        <w:pStyle w:val="BodyText"/>
      </w:pPr>
      <w:r>
        <w:t xml:space="preserve">LSTM dan QLSTM dilatih menggunakan input, target, dan split yang sama. Setelah</w:t>
      </w:r>
      <w:r>
        <w:t xml:space="preserve"> </w:t>
      </w:r>
      <w:r>
        <w:t xml:space="preserve">model akhir dibekukan, keduanya diintegrasikan sebagai scheduler gain PI.</w:t>
      </w:r>
      <w:r>
        <w:t xml:space="preserve"> </w:t>
      </w:r>
      <w:r>
        <w:t xml:space="preserve">Keluaran model menjalani inverse target scaling, pemeriksaan nilai berhingga,</w:t>
      </w:r>
      <w:r>
        <w:t xml:space="preserve"> </w:t>
      </w:r>
      <w:r>
        <w:t xml:space="preserve">clipping pada envelope gain admissible, serta pembatasan laju perubahan gain.</w:t>
      </w:r>
      <w:r>
        <w:t xml:space="preserve"> </w:t>
      </w:r>
      <w:r>
        <w:t xml:space="preserve">Gain kemudian diterapkan pada PI dengan pembaruan scheduler 10 Hz, sedangkan</w:t>
      </w:r>
      <w:r>
        <w:t xml:space="preserve"> </w:t>
      </w:r>
      <w:r>
        <w:t xml:space="preserve">observasi sistem dilakukan pada 20 Hz.</w:t>
      </w:r>
    </w:p>
    <w:p>
      <w:pPr>
        <w:pStyle w:val="BodyText"/>
      </w:pPr>
      <w:r>
        <w:t xml:space="preserve">Evaluasi closed-loop akhir membandingkan PI gain tetap, LSTM–PI, dan QLSTM–PI</w:t>
      </w:r>
      <w:r>
        <w:t xml:space="preserve"> </w:t>
      </w:r>
      <w:r>
        <w:t xml:space="preserve">pada empat skenario deterministik. CL01 dan CL02 mewakili dua keluarga dinamik</w:t>
      </w:r>
      <w:r>
        <w:t xml:space="preserve"> </w:t>
      </w:r>
      <w:r>
        <w:t xml:space="preserve">uji independen dan menjadi bukti primer. CL03 digunakan sebagai boundary</w:t>
      </w:r>
      <w:r>
        <w:t xml:space="preserve"> </w:t>
      </w:r>
      <w:r>
        <w:t xml:space="preserve">stress. CL04 digunakan sebagai diagnostik G3 dalam distribusi dan tidak</w:t>
      </w:r>
      <w:r>
        <w:t xml:space="preserve"> </w:t>
      </w:r>
      <w:r>
        <w:t xml:space="preserve">digunakan untuk membuat klaim generalisasi independen terhadap G3.</w:t>
      </w:r>
    </w:p>
    <w:p>
      <w:pPr>
        <w:pStyle w:val="BodyText"/>
      </w:pPr>
      <w:r>
        <w:t xml:space="preserve">Analisis akhir menggunakan RMSE deviasi frekuensi sebagai metrik primer dan</w:t>
      </w:r>
      <w:r>
        <w:t xml:space="preserve"> </w:t>
      </w:r>
      <w:r>
        <w:t xml:space="preserve">indikator dinamik serta beban komputasi sebagai bukti pendukung. Interpretasi</w:t>
      </w:r>
      <w:r>
        <w:t xml:space="preserve"> </w:t>
      </w:r>
      <w:r>
        <w:t xml:space="preserve">dilakukan secara deskriptif tanpa klaim signifikansi statistik. Simulasi Monte</w:t>
      </w:r>
      <w:r>
        <w:t xml:space="preserve"> </w:t>
      </w:r>
      <w:r>
        <w:t xml:space="preserve">Carlo tidak menjadi bagian dari tahap evaluasi primer dan ditempatkan sebagai</w:t>
      </w:r>
      <w:r>
        <w:t xml:space="preserve"> </w:t>
      </w:r>
      <w:r>
        <w:t xml:space="preserve">ruang pengembangan penelitian selanjutnya. Setelah hasil pengujian diperoleh,</w:t>
      </w:r>
      <w:r>
        <w:t xml:space="preserve"> </w:t>
      </w:r>
      <w:r>
        <w:t xml:space="preserve">tidak dilakukan pelatihan ulang model, pemilihan ulang skenario, maupun</w:t>
      </w:r>
      <w:r>
        <w:t xml:space="preserve"> </w:t>
      </w:r>
      <w:r>
        <w:t xml:space="preserve">perubahan kebijakan scheduler.</w:t>
      </w:r>
    </w:p>
    <w:p>
      <w:pPr>
        <w:pStyle w:val="Heading1"/>
        <w:pageBreakBefore/>
        <w:spacing w:before="0" w:after="720" w:line="36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HASIL DAN PEMBAHASAN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Kerangka Evaluasi Hasil</w:t>
      </w:r>
    </w:p>
    <w:p>
      <w:pPr>
        <w:pStyle w:val="FirstParagraph"/>
      </w:pPr>
      <w:r>
        <w:t xml:space="preserve">Evaluasi hasil dilakukan setelah model PLTMH–ELC, dataset, pembagian keluarga dinamik, model pembelajaran, serta kebijakan penjadwalan gain ditetapkan. Tahap </w:t>
      </w:r>
      <w:r>
        <w:rPr>
          <w:i/>
        </w:rPr>
        <w:t>closed-loop</w:t>
      </w:r>
      <w:r>
        <w:t xml:space="preserve"> membandingkan tiga konfigurasi pengendali, yaitu PI dengan gain tetap, LSTM–PI, dan QLSTM–PI. Ketiga konfigurasi menggunakan model plant, solver, kondisi operasi, batas gain, periode observasi, periode pembaruan gain, dan mekanisme pembatasan laju perubahan gain yang sama. Dengan rancangan tersebut, perbedaan respons yang diperoleh tidak berasal dari perubahan konfigurasi simulasi setelah hasil pengujian diketahui.</w:t>
      </w:r>
    </w:p>
    <w:p>
      <w:pPr>
        <w:pStyle w:val="FirstParagraph"/>
      </w:pPr>
      <w:r>
        <w:t xml:space="preserve">Evaluasi primer menggunakan dua keluarga dinamik uji independen, yaitu CL01 (D40_L-20) dan CL02 (D20_L+10). Kedua keluarga tersebut tidak digunakan sebagai keluarga pelatihan. CL03 (D20_L+20) ditempatkan sebagai skenario </w:t>
      </w:r>
      <w:r>
        <w:rPr>
          <w:i/>
        </w:rPr>
        <w:t>boundary stress</w:t>
      </w:r>
      <w:r>
        <w:t xml:space="preserve"> tanpa target gain supervisi yang keras, sedangkan CL04 (D30_L+20) digunakan sebagai diagnostik G3 dalam distribusi pelatihan. Oleh karena itu, hasil CL03 dan CL04 dibahas secara terpisah dan tidak digunakan untuk memperluas klaim generalisasi pada evaluasi primer.</w:t>
      </w:r>
    </w:p>
    <w:p>
      <w:pPr>
        <w:pStyle w:val="FirstParagraph"/>
      </w:pPr>
      <w:r>
        <w:t xml:space="preserve">Simulasi menggunakan RK4 langkah tetap dengan interval 0,0025 s. Gangguan diterapkan pada t = 2,50 s dan respons dievaluasi selama 7,50 s setelah gangguan. Data masukan model adaptif diamati pada 20 Hz, sedangkan gain PI diperbarui pada 10 Hz dengan mekanisme </w:t>
      </w:r>
      <w:r>
        <w:rPr>
          <w:i/>
        </w:rPr>
        <w:t>zero-order hold</w:t>
      </w:r>
      <w:r>
        <w:t xml:space="preserve"> di antara dua pembaruan. Pembaruan gain adaptif pertama diizinkan pada t = 2,60 s. Pengaturan tersebut telah ditetapkan sebelum simulasi komparatif dan tidak diubah berdasarkan hasil yang diperoleh.</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Kinerja Model dalam Mengestimasi Gain PI</w:t>
      </w:r>
    </w:p>
    <w:p>
      <w:pPr>
        <w:pStyle w:val="FirstParagraph"/>
      </w:pPr>
      <w:r>
        <w:t xml:space="preserve">Sebelum integrasi ke sistem </w:t>
      </w:r>
      <w:r>
        <w:rPr>
          <w:i/>
        </w:rPr>
        <w:t>closed-loop</w:t>
      </w:r>
      <w:r>
        <w:t>, model LSTM dan QLSTM dievaluasi terhadap target gain PI pada data uji yang telah dibekukan. MSE yang digunakan pada tahap ini dihitung terhadap target Kp dan Ki yang telah distandardisasi, sehingga nilainya merupakan ukuran galat regresi pada ruang target terstandardisasi dan bukan galat frekuensi dalam satuan hertz.</w:t>
      </w:r>
    </w:p>
    <w:p>
      <w:pPr>
        <w:pStyle w:val="Caption"/>
        <w:spacing w:before="120" w:after="240"/>
        <w:jc w:val="center"/>
        <w:rPr>
          <w:rFonts w:ascii="Times New Roman" w:hAnsi="Times New Roman" w:cs="Times New Roman"/>
          <w:i w:val="0"/>
          <w:iCs w:val="0"/>
          <w:sz w:val="24"/>
          <w:szCs w:val="24"/>
          <w:lang w:val="nb-NO"/>
        </w:rPr>
      </w:pPr>
      <w:r>
        <w:rPr>
          <w:b/>
        </w:rPr>
        <w:t>Tabel 4.1. Kinerja estimasi gain PI pada data uji</w:t>
      </w:r>
    </w:p>
    <w:tbl>
      <w:tblPr>
        <w:tblStyle w:val="Table"/>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tcPr>
          <w:p>
            <w:pPr>
              <w:jc w:val="center"/>
            </w:pPr>
            <w:r>
              <w:rPr>
                <w:b/>
              </w:rPr>
              <w:t>Model</w:t>
            </w:r>
          </w:p>
        </w:tc>
        <w:tc>
          <w:tcPr>
            <w:tcW w:type="dxa" w:w="2409"/>
            <w:vAlign w:val="center"/>
          </w:tcPr>
          <w:p>
            <w:pPr>
              <w:jc w:val="center"/>
            </w:pPr>
            <w:r>
              <w:rPr>
                <w:b/>
              </w:rPr>
              <w:t>MSE target terstandardisasi</w:t>
            </w:r>
          </w:p>
        </w:tc>
        <w:tc>
          <w:tcPr>
            <w:tcW w:type="dxa" w:w="2409"/>
            <w:vAlign w:val="center"/>
          </w:tcPr>
          <w:p>
            <w:pPr>
              <w:jc w:val="center"/>
            </w:pPr>
            <w:r>
              <w:rPr>
                <w:b/>
              </w:rPr>
              <w:t>RMSE Kp</w:t>
            </w:r>
          </w:p>
        </w:tc>
        <w:tc>
          <w:tcPr>
            <w:tcW w:type="dxa" w:w="2409"/>
            <w:vAlign w:val="center"/>
          </w:tcPr>
          <w:p>
            <w:pPr>
              <w:jc w:val="center"/>
            </w:pPr>
            <w:r>
              <w:rPr>
                <w:b/>
              </w:rPr>
              <w:t>RMSE Ki</w:t>
            </w:r>
          </w:p>
        </w:tc>
      </w:tr>
      <w:tr>
        <w:tc>
          <w:tcPr>
            <w:tcW w:type="dxa" w:w="2409"/>
            <w:vAlign w:val="center"/>
          </w:tcPr>
          <w:p>
            <w:pPr>
              <w:jc w:val="left"/>
            </w:pPr>
            <w:r>
              <w:t>LSTM</w:t>
            </w:r>
          </w:p>
        </w:tc>
        <w:tc>
          <w:tcPr>
            <w:tcW w:type="dxa" w:w="2409"/>
            <w:vAlign w:val="center"/>
          </w:tcPr>
          <w:p>
            <w:pPr>
              <w:jc w:val="right"/>
            </w:pPr>
            <w:r>
              <w:t>0,868629</w:t>
            </w:r>
          </w:p>
        </w:tc>
        <w:tc>
          <w:tcPr>
            <w:tcW w:type="dxa" w:w="2409"/>
            <w:vAlign w:val="center"/>
          </w:tcPr>
          <w:p>
            <w:pPr>
              <w:jc w:val="right"/>
            </w:pPr>
            <w:r>
              <w:t>0,289101</w:t>
            </w:r>
          </w:p>
        </w:tc>
        <w:tc>
          <w:tcPr>
            <w:tcW w:type="dxa" w:w="2409"/>
            <w:vAlign w:val="center"/>
          </w:tcPr>
          <w:p>
            <w:pPr>
              <w:jc w:val="right"/>
            </w:pPr>
            <w:r>
              <w:t>4,157301</w:t>
            </w:r>
          </w:p>
        </w:tc>
      </w:tr>
      <w:tr>
        <w:tc>
          <w:tcPr>
            <w:tcW w:type="dxa" w:w="2409"/>
            <w:vAlign w:val="center"/>
          </w:tcPr>
          <w:p>
            <w:pPr>
              <w:jc w:val="left"/>
            </w:pPr>
            <w:r>
              <w:t>QLSTM</w:t>
            </w:r>
          </w:p>
        </w:tc>
        <w:tc>
          <w:tcPr>
            <w:tcW w:type="dxa" w:w="2409"/>
            <w:vAlign w:val="center"/>
          </w:tcPr>
          <w:p>
            <w:pPr>
              <w:jc w:val="right"/>
            </w:pPr>
            <w:r>
              <w:t>2,963549</w:t>
            </w:r>
          </w:p>
        </w:tc>
        <w:tc>
          <w:tcPr>
            <w:tcW w:type="dxa" w:w="2409"/>
            <w:vAlign w:val="center"/>
          </w:tcPr>
          <w:p>
            <w:pPr>
              <w:jc w:val="right"/>
            </w:pPr>
            <w:r>
              <w:t>0,515339</w:t>
            </w:r>
          </w:p>
        </w:tc>
        <w:tc>
          <w:tcPr>
            <w:tcW w:type="dxa" w:w="2409"/>
            <w:vAlign w:val="center"/>
          </w:tcPr>
          <w:p>
            <w:pPr>
              <w:jc w:val="right"/>
            </w:pPr>
            <w:r>
              <w:t>7,789278</w:t>
            </w:r>
          </w:p>
        </w:tc>
      </w:tr>
    </w:tbl>
    <w:p>
      <w:pPr>
        <w:pStyle w:val="FirstParagraph"/>
      </w:pPr>
      <w:r>
        <w:t>Tabel 4.1 menunjukkan bahwa LSTM menghasilkan MSE terstandardisasi 0,868629, sedangkan QLSTM menghasilkan 2,963549. Pada model beku yang dievaluasi, MSE QLSTM sekitar 241,18% lebih tinggi daripada LSTM. RMSE Kp dan Ki QLSTM juga lebih tinggi daripada LSTM pada data uji yang sama.</w:t>
      </w:r>
    </w:p>
    <w:p>
      <w:pPr>
        <w:pStyle w:val="FirstParagraph"/>
      </w:pPr>
      <w:r>
        <w:t xml:space="preserve">Hasil tersebut menunjukkan bahwa </w:t>
      </w:r>
      <w:r>
        <w:rPr>
          <w:b/>
        </w:rPr>
        <w:t>arsitektur QLSTM yang digunakan dalam konfigurasi penelitian ini belum menghasilkan akurasi estimasi gain yang lebih baik daripada LSTM</w:t>
      </w:r>
      <w:r>
        <w:t xml:space="preserve">. Temuan ini tidak ditafsirkan sebagai bukti bahwa komponen kuantum secara umum menurunkan kinerja. QLSTM yang diuji merupakan arsitektur </w:t>
      </w:r>
      <w:r>
        <w:rPr>
          <w:i/>
        </w:rPr>
        <w:t>hybrid quantum–classical</w:t>
      </w:r>
      <w:r>
        <w:t xml:space="preserve"> dengan 5.422 parameter, yang terdiri atas 48 parameter kuantum dan komponen klasik yang membentuk sebagian besar parameter model. Kesimpulan karena itu dibatasi pada arsitektur, dataset, proses pelatihan, dan pembagian data yang digunakan dalam penelitian ini.</w:t>
      </w:r>
    </w:p>
    <w:p>
      <w:pPr>
        <w:pStyle w:val="FirstParagraph"/>
      </w:pPr>
      <w:r>
        <w:t xml:space="preserve">Galat estimasi gain juga tidak dapat digunakan secara langsung sebagai ukuran akhir kinerja pengendalian. Pengaruh suatu pasangan Kp dan Ki terhadap respons frekuensi ditentukan oleh dinamika plant, kondisi operasi, pembatasan gain, dan sensitivitas sistem </w:t>
      </w:r>
      <w:r>
        <w:rPr>
          <w:i/>
        </w:rPr>
        <w:t>closed-loop</w:t>
      </w:r>
      <w:r>
        <w:t>. Evaluasi berikutnya karena itu memeriksa secara langsung respons frekuensi setelah LSTM dan QLSTM diintegrasikan sebagai penjadwal gain PI.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Hasil Utama Closed-Loop pada Keluarga Uji Independen</w:t>
      </w:r>
    </w:p>
    <w:p>
      <w:pPr>
        <w:pStyle w:val="FirstParagraph"/>
      </w:pPr>
      <w:r>
        <w:t xml:space="preserve">Evaluasi primer </w:t>
      </w:r>
      <w:r>
        <w:rPr>
          <w:i/>
        </w:rPr>
        <w:t>closed-loop</w:t>
      </w:r>
      <w:r>
        <w:t xml:space="preserve"> menggunakan CL01 dan CL02 sebagai dua keluarga dinamik uji independen. Metrik utama yang telah ditetapkan adalah RMSE deviasi frekuensi selama horizon 7,50 s setelah gangguan. Hasil setiap keluarga disajikan pada Tabel 4.2.</w:t>
      </w:r>
    </w:p>
    <w:p>
      <w:pPr>
        <w:pStyle w:val="Caption"/>
        <w:spacing w:before="120" w:after="240"/>
        <w:jc w:val="center"/>
        <w:rPr>
          <w:rFonts w:ascii="Times New Roman" w:hAnsi="Times New Roman" w:cs="Times New Roman"/>
          <w:i w:val="0"/>
          <w:iCs w:val="0"/>
          <w:sz w:val="24"/>
          <w:szCs w:val="24"/>
          <w:lang w:val="nb-NO"/>
        </w:rPr>
      </w:pPr>
      <w:r>
        <w:rPr>
          <w:b/>
        </w:rPr>
        <w:t>Tabel 4.2. RMSE deviasi frekuensi pada keluarga uji independen</w:t>
      </w:r>
    </w:p>
    <w:tbl>
      <w:tblPr>
        <w:tblStyle w:val="Table"/>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vAlign w:val="center"/>
          </w:tcPr>
          <w:p>
            <w:pPr>
              <w:jc w:val="center"/>
            </w:pPr>
            <w:r>
              <w:rPr>
                <w:b/>
              </w:rPr>
              <w:t>Skenario</w:t>
            </w:r>
          </w:p>
        </w:tc>
        <w:tc>
          <w:tcPr>
            <w:tcW w:type="dxa" w:w="1606"/>
            <w:vAlign w:val="center"/>
          </w:tcPr>
          <w:p>
            <w:pPr>
              <w:jc w:val="center"/>
            </w:pPr>
            <w:r>
              <w:rPr>
                <w:b/>
              </w:rPr>
              <w:t>Keluarga</w:t>
            </w:r>
          </w:p>
        </w:tc>
        <w:tc>
          <w:tcPr>
            <w:tcW w:type="dxa" w:w="1606"/>
            <w:vAlign w:val="center"/>
          </w:tcPr>
          <w:p>
            <w:pPr>
              <w:jc w:val="center"/>
            </w:pPr>
            <w:r>
              <w:rPr>
                <w:b/>
              </w:rPr>
              <w:t>PI gain tetap (Hz)</w:t>
            </w:r>
          </w:p>
        </w:tc>
        <w:tc>
          <w:tcPr>
            <w:tcW w:type="dxa" w:w="1606"/>
            <w:vAlign w:val="center"/>
          </w:tcPr>
          <w:p>
            <w:pPr>
              <w:jc w:val="center"/>
            </w:pPr>
            <w:r>
              <w:rPr>
                <w:b/>
              </w:rPr>
              <w:t>LSTM–PI (Hz)</w:t>
            </w:r>
          </w:p>
        </w:tc>
        <w:tc>
          <w:tcPr>
            <w:tcW w:type="dxa" w:w="1606"/>
            <w:vAlign w:val="center"/>
          </w:tcPr>
          <w:p>
            <w:pPr>
              <w:jc w:val="center"/>
            </w:pPr>
            <w:r>
              <w:rPr>
                <w:b/>
              </w:rPr>
              <w:t>QLSTM–PI (Hz)</w:t>
            </w:r>
          </w:p>
        </w:tc>
        <w:tc>
          <w:tcPr>
            <w:tcW w:type="dxa" w:w="1606"/>
            <w:vAlign w:val="center"/>
          </w:tcPr>
          <w:p>
            <w:pPr>
              <w:jc w:val="center"/>
            </w:pPr>
            <w:r>
              <w:rPr>
                <w:b/>
              </w:rPr>
              <w:t>RMSE terendah</w:t>
            </w:r>
          </w:p>
        </w:tc>
      </w:tr>
      <w:tr>
        <w:tc>
          <w:tcPr>
            <w:tcW w:type="dxa" w:w="1606"/>
            <w:vAlign w:val="center"/>
          </w:tcPr>
          <w:p>
            <w:pPr>
              <w:jc w:val="left"/>
            </w:pPr>
            <w:r>
              <w:t>CL01</w:t>
            </w:r>
          </w:p>
        </w:tc>
        <w:tc>
          <w:tcPr>
            <w:tcW w:type="dxa" w:w="1606"/>
            <w:vAlign w:val="center"/>
          </w:tcPr>
          <w:p>
            <w:pPr>
              <w:jc w:val="left"/>
            </w:pPr>
            <w:r>
              <w:t>D40_L-20</w:t>
            </w:r>
          </w:p>
        </w:tc>
        <w:tc>
          <w:tcPr>
            <w:tcW w:type="dxa" w:w="1606"/>
            <w:vAlign w:val="center"/>
          </w:tcPr>
          <w:p>
            <w:pPr>
              <w:jc w:val="right"/>
            </w:pPr>
            <w:r>
              <w:t>0,016638</w:t>
            </w:r>
          </w:p>
        </w:tc>
        <w:tc>
          <w:tcPr>
            <w:tcW w:type="dxa" w:w="1606"/>
            <w:vAlign w:val="center"/>
          </w:tcPr>
          <w:p>
            <w:pPr>
              <w:jc w:val="right"/>
            </w:pPr>
            <w:r>
              <w:t>0,020160</w:t>
            </w:r>
          </w:p>
        </w:tc>
        <w:tc>
          <w:tcPr>
            <w:tcW w:type="dxa" w:w="1606"/>
            <w:vAlign w:val="center"/>
          </w:tcPr>
          <w:p>
            <w:pPr>
              <w:jc w:val="right"/>
            </w:pPr>
            <w:r>
              <w:t>0,023913</w:t>
            </w:r>
          </w:p>
        </w:tc>
        <w:tc>
          <w:tcPr>
            <w:tcW w:type="dxa" w:w="1606"/>
            <w:vAlign w:val="center"/>
          </w:tcPr>
          <w:p>
            <w:pPr>
              <w:jc w:val="left"/>
            </w:pPr>
            <w:r>
              <w:t>PI gain tetap</w:t>
            </w:r>
          </w:p>
        </w:tc>
      </w:tr>
      <w:tr>
        <w:tc>
          <w:tcPr>
            <w:tcW w:type="dxa" w:w="1606"/>
            <w:vAlign w:val="center"/>
          </w:tcPr>
          <w:p>
            <w:pPr>
              <w:jc w:val="left"/>
            </w:pPr>
            <w:r>
              <w:t>CL02</w:t>
            </w:r>
          </w:p>
        </w:tc>
        <w:tc>
          <w:tcPr>
            <w:tcW w:type="dxa" w:w="1606"/>
            <w:vAlign w:val="center"/>
          </w:tcPr>
          <w:p>
            <w:pPr>
              <w:jc w:val="left"/>
            </w:pPr>
            <w:r>
              <w:t>D20_L+10</w:t>
            </w:r>
          </w:p>
        </w:tc>
        <w:tc>
          <w:tcPr>
            <w:tcW w:type="dxa" w:w="1606"/>
            <w:vAlign w:val="center"/>
          </w:tcPr>
          <w:p>
            <w:pPr>
              <w:jc w:val="right"/>
            </w:pPr>
            <w:r>
              <w:t>0,008319</w:t>
            </w:r>
          </w:p>
        </w:tc>
        <w:tc>
          <w:tcPr>
            <w:tcW w:type="dxa" w:w="1606"/>
            <w:vAlign w:val="center"/>
          </w:tcPr>
          <w:p>
            <w:pPr>
              <w:jc w:val="right"/>
            </w:pPr>
            <w:r>
              <w:t>0,007460</w:t>
            </w:r>
          </w:p>
        </w:tc>
        <w:tc>
          <w:tcPr>
            <w:tcW w:type="dxa" w:w="1606"/>
            <w:vAlign w:val="center"/>
          </w:tcPr>
          <w:p>
            <w:pPr>
              <w:jc w:val="right"/>
            </w:pPr>
            <w:r>
              <w:t>0,008388</w:t>
            </w:r>
          </w:p>
        </w:tc>
        <w:tc>
          <w:tcPr>
            <w:tcW w:type="dxa" w:w="1606"/>
            <w:vAlign w:val="center"/>
          </w:tcPr>
          <w:p>
            <w:pPr>
              <w:jc w:val="left"/>
            </w:pPr>
            <w:r>
              <w:t>LSTM–PI</w:t>
            </w:r>
          </w:p>
        </w:tc>
      </w:tr>
      <w:tr>
        <w:tc>
          <w:tcPr>
            <w:tcW w:type="dxa" w:w="1606"/>
            <w:vAlign w:val="center"/>
          </w:tcPr>
          <w:p>
            <w:pPr>
              <w:jc w:val="left"/>
            </w:pPr>
            <w:r>
              <w:rPr>
                <w:b/>
              </w:rPr>
              <w:t>Rerata tidak tertimbang</w:t>
            </w:r>
          </w:p>
        </w:tc>
        <w:tc>
          <w:tcPr>
            <w:tcW w:type="dxa" w:w="1606"/>
            <w:vAlign w:val="center"/>
          </w:tcPr>
          <w:p>
            <w:pPr>
              <w:jc w:val="left"/>
            </w:pPr>
            <w:r>
              <w:rPr>
                <w:b/>
              </w:rPr>
              <w:t>2 keluarga</w:t>
            </w:r>
          </w:p>
        </w:tc>
        <w:tc>
          <w:tcPr>
            <w:tcW w:type="dxa" w:w="1606"/>
            <w:vAlign w:val="center"/>
          </w:tcPr>
          <w:p>
            <w:pPr>
              <w:jc w:val="right"/>
            </w:pPr>
            <w:r>
              <w:rPr>
                <w:b/>
              </w:rPr>
              <w:t>0,012478</w:t>
            </w:r>
          </w:p>
        </w:tc>
        <w:tc>
          <w:tcPr>
            <w:tcW w:type="dxa" w:w="1606"/>
            <w:vAlign w:val="center"/>
          </w:tcPr>
          <w:p>
            <w:pPr>
              <w:jc w:val="right"/>
            </w:pPr>
            <w:r>
              <w:rPr>
                <w:b/>
              </w:rPr>
              <w:t>0,013810</w:t>
            </w:r>
          </w:p>
        </w:tc>
        <w:tc>
          <w:tcPr>
            <w:tcW w:type="dxa" w:w="1606"/>
            <w:vAlign w:val="center"/>
          </w:tcPr>
          <w:p>
            <w:pPr>
              <w:jc w:val="right"/>
            </w:pPr>
            <w:r>
              <w:rPr>
                <w:b/>
              </w:rPr>
              <w:t>0,016150</w:t>
            </w:r>
          </w:p>
        </w:tc>
        <w:tc>
          <w:tcPr>
            <w:tcW w:type="dxa" w:w="1606"/>
            <w:vAlign w:val="center"/>
          </w:tcPr>
          <w:p>
            <w:pPr>
              <w:jc w:val="left"/>
            </w:pPr>
            <w:r>
              <w:rPr>
                <w:b/>
              </w:rPr>
              <w:t>PI gain tetap</w:t>
            </w:r>
          </w:p>
        </w:tc>
      </w:tr>
    </w:tbl>
    <w:p>
      <w:pPr>
        <w:pStyle w:val="FirstParagraph"/>
      </w:pPr>
      <w:r>
        <w:t>Rerata tidak tertimbang dari kedua keluarga uji menghasilkan RMSE 0,012478 Hz untuk PI gain tetap, 0,013810 Hz untuk LSTM–PI, dan 0,016150 Hz untuk QLSTM–PI. Dibandingkan PI gain tetap, rerata RMSE LSTM–PI lebih tinggi 10,67%, sedangkan QLSTM–PI lebih tinggi 29,42%. Rerata RMSE QLSTM–PI juga lebih tinggi 16,95% dibandingkan LSTM–PI.</w:t>
      </w:r>
    </w:p>
    <w:p>
      <w:pPr>
        <w:pStyle w:val="FirstParagraph"/>
      </w:pPr>
      <w:r>
        <w:t xml:space="preserve">Rerata tersebut bersifat </w:t>
      </w:r>
      <w:r>
        <w:rPr>
          <w:b/>
        </w:rPr>
        <w:t>deskriptif</w:t>
      </w:r>
      <w:r>
        <w:t xml:space="preserve">, karena evaluasi primer hanya terdiri atas dua keluarga dinamik independen. Ribuan titik waktu hasil RK4 maupun </w:t>
      </w:r>
      <w:r>
        <w:rPr>
          <w:i/>
        </w:rPr>
        <w:t>window</w:t>
      </w:r>
      <w:r>
        <w:t xml:space="preserve"> temporal dari masing-masing keluarga tidak diperlakukan sebagai observasi independen. Oleh karena itu, hasil pada bagian ini tidak digunakan untuk membuat klaim signifikansi statistik.</w:t>
      </w:r>
    </w:p>
    <w:p>
      <w:pPr>
        <w:keepNext/>
        <w:jc w:val="center"/>
      </w:pPr>
      <w:r>
        <w:drawing>
          <wp:inline xmlns:a="http://schemas.openxmlformats.org/drawingml/2006/main" xmlns:pic="http://schemas.openxmlformats.org/drawingml/2006/picture">
            <wp:extent cx="5630519" cy="3406983"/>
            <wp:docPr id="2045596143" name="Picture 2045596143"/>
            <wp:cNvGraphicFramePr>
              <a:graphicFrameLocks noChangeAspect="1"/>
            </wp:cNvGraphicFramePr>
            <a:graphic>
              <a:graphicData uri="http://schemas.openxmlformats.org/drawingml/2006/picture">
                <pic:pic>
                  <pic:nvPicPr>
                    <pic:cNvPr id="0" name="fig157_primary_rmse_comparison.png"/>
                    <pic:cNvPicPr/>
                  </pic:nvPicPr>
                  <pic:blipFill>
                    <a:blip r:embed="rId25"/>
                    <a:stretch>
                      <a:fillRect/>
                    </a:stretch>
                  </pic:blipFill>
                  <pic:spPr>
                    <a:xfrm>
                      <a:off x="0" y="0"/>
                      <a:ext cx="5630519" cy="3406983"/>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4.1.</w:t>
      </w:r>
      <w:r>
        <w:t xml:space="preserve"> Perbandingan RMSE deviasi frekuensi PI gain tetap, LSTM–PI, dan QLSTM–PI pada dua keluarga dinamik uji independen.</w:t>
      </w:r>
    </w:p>
    <w:p>
      <w:pPr>
        <w:pStyle w:val="FirstParagraph"/>
      </w:pPr>
      <w:r>
        <w:t>Tabel 4.2 dan Gambar 4.1 memperlihatkan perbedaan kinerja yang bergantung pada kondisi operasi. PI gain tetap menghasilkan RMSE terendah pada CL01, sedangkan LSTM–PI menghasilkan RMSE terendah pada CL02. Dengan demikian, LSTM–PI belum menunjukkan peningkatan yang konsisten terhadap PI gain tetap pada kedua keluarga uji. QLSTM–PI tidak menghasilkan RMSE terendah pada salah satu dari dua keluarga uji independen.</w:t>
      </w:r>
    </w:p>
    <w:p>
      <w:pPr>
        <w:pStyle w:val="FirstParagraph"/>
      </w:pPr>
      <w:r>
        <w:t xml:space="preserve">Bukti primer tersebut </w:t>
      </w:r>
      <w:r>
        <w:rPr>
          <w:b/>
        </w:rPr>
        <w:t>tidak mendukung klaim bahwa QLSTM–PI meningkatkan kinerja pengendalian frekuensi dibandingkan PI gain tetap maupun LSTM–PI</w:t>
      </w:r>
      <w:r>
        <w:t xml:space="preserve"> pada dua keluarga uji independen yang tersedia. Hasil ini dipertahankan sebagaimana diperoleh dari protokol yang telah dibekukan dan tidak digunakan untuk melakukan pelatihan ulang model, perubahan skenario, maupun penalaan ulang pengendali.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CL01 (D40_L-20)</w:t>
      </w:r>
    </w:p>
    <w:p>
      <w:pPr>
        <w:pStyle w:val="FirstParagraph"/>
      </w:pPr>
      <w:r>
        <w:t xml:space="preserve">CL01 merepresentasikan kondisi daya mekanik 90 kW, daya </w:t>
      </w:r>
      <w:r>
        <w:rPr>
          <w:i/>
        </w:rPr>
        <w:t>dump</w:t>
      </w:r>
      <w:r>
        <w:t xml:space="preserve"> awal 40 kW, dan penurunan beban konsumen sebesar 20 kW. Sebelum gangguan, beban konsumen sebesar 50 kW dan </w:t>
      </w:r>
      <w:r>
        <w:rPr>
          <w:i/>
        </w:rPr>
        <w:t>dump load</w:t>
      </w:r>
      <w:r>
        <w:t xml:space="preserve"> sebesar 40 kW. Setelah beban konsumen turun menjadi 30 kW, titik keseimbangan daya yang baru memerlukan peningkatan daya </w:t>
      </w:r>
      <w:r>
        <w:rPr>
          <w:i/>
        </w:rPr>
        <w:t>dump</w:t>
      </w:r>
      <w:r>
        <w:t xml:space="preserve"> menuju sekitar 60 kW.</w:t>
      </w:r>
    </w:p>
    <w:p>
      <w:pPr>
        <w:pStyle w:val="FirstParagraph"/>
      </w:pPr>
      <w:r>
        <w:t xml:space="preserve">Pada skenario ini, PI gain tetap menghasilkan RMSE deviasi frekuensi sebesar 0,016638 Hz. LSTM–PI menghasilkan RMSE 0,020160 Hz, sedangkan QLSTM–PI menghasilkan 0,023913 Hz. Dibandingkan PI gain tetap, RMSE LSTM–PI meningkat 21,17% dan RMSE QLSTM–PI meningkat 43,72%. Penyajian dalam bentuk kenaikan RMSE digunakan agar arah perubahan kinerja tidak bergantung pada tanda negatif dari definisi persentase </w:t>
      </w:r>
      <w:r>
        <w:rPr>
          <w:i/>
        </w:rPr>
        <w:t>improvement</w:t>
      </w:r>
      <w:r>
        <w:t xml:space="preserve"> pada artefak evaluasi.</w:t>
      </w:r>
    </w:p>
    <w:p>
      <w:pPr>
        <w:keepNext/>
        <w:jc w:val="center"/>
      </w:pPr>
      <w:r>
        <w:drawing>
          <wp:inline xmlns:a="http://schemas.openxmlformats.org/drawingml/2006/main" xmlns:pic="http://schemas.openxmlformats.org/drawingml/2006/picture">
            <wp:extent cx="5630519" cy="3269727"/>
            <wp:docPr id="2045596144" name="Picture 2045596144"/>
            <wp:cNvGraphicFramePr>
              <a:graphicFrameLocks noChangeAspect="1"/>
            </wp:cNvGraphicFramePr>
            <a:graphic>
              <a:graphicData uri="http://schemas.openxmlformats.org/drawingml/2006/picture">
                <pic:pic>
                  <pic:nvPicPr>
                    <pic:cNvPr id="0" name="fig157_cl01_frequency_response.png"/>
                    <pic:cNvPicPr/>
                  </pic:nvPicPr>
                  <pic:blipFill>
                    <a:blip r:embed="rId26"/>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4.2.</w:t>
      </w:r>
      <w:r>
        <w:t xml:space="preserve"> Respons deviasi frekuensi pada CL01 (D40_L-20). Garis putus-putus menunjukkan waktu pembaruan gain adaptif pertama pada t = 2,60 s.</w:t>
      </w:r>
    </w:p>
    <w:p>
      <w:pPr>
        <w:pStyle w:val="FirstParagraph"/>
      </w:pPr>
      <w:r>
        <w:t xml:space="preserve">Hasil tersebut menunjukkan bahwa penjadwalan gain adaptif pada CL01 belum memperbaiki RMSE dibandingkan PI gain tetap. Diagnostik scheduler memperlihatkan bahwa LSTM–PI memiliki </w:t>
      </w:r>
      <w:r>
        <w:rPr>
          <w:i/>
        </w:rPr>
        <w:t>clip fraction</w:t>
      </w:r>
      <w:r>
        <w:t xml:space="preserve"> 1,00 pada skenario ini, dengan rerata Ki yang diaplikasikan sekitar 3,10, yaitu dekat batas bawah Ki sebesar 3,0368. QLSTM–PI memiliki rerata Ki yang diaplikasikan sekitar 4,82 dan </w:t>
      </w:r>
      <w:r>
        <w:rPr>
          <w:i/>
        </w:rPr>
        <w:t>rate-limit fraction</w:t>
      </w:r>
      <w:r>
        <w:t xml:space="preserve"> yang lebih tinggi daripada LSTM–PI pada CL01. Informasi tersebut menunjukkan bahwa mekanisme pembatas gain aktif selama operasi, tetapi tidak digunakan untuk menyimpulkan hubungan sebab-akibat tunggal antara nilai gain tertentu dan peningkatan RMSE.</w:t>
      </w:r>
    </w:p>
    <w:p>
      <w:pPr>
        <w:keepNext/>
        <w:jc w:val="center"/>
      </w:pPr>
      <w:r>
        <w:drawing>
          <wp:inline xmlns:a="http://schemas.openxmlformats.org/drawingml/2006/main" xmlns:pic="http://schemas.openxmlformats.org/drawingml/2006/picture">
            <wp:extent cx="5630519" cy="4621794"/>
            <wp:docPr id="2045596145" name="Picture 2045596145"/>
            <wp:cNvGraphicFramePr>
              <a:graphicFrameLocks noChangeAspect="1"/>
            </wp:cNvGraphicFramePr>
            <a:graphic>
              <a:graphicData uri="http://schemas.openxmlformats.org/drawingml/2006/picture">
                <pic:pic>
                  <pic:nvPicPr>
                    <pic:cNvPr id="0" name="fig157_cl01_applied_gain_trajectories.png"/>
                    <pic:cNvPicPr/>
                  </pic:nvPicPr>
                  <pic:blipFill>
                    <a:blip r:embed="rId27"/>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4.3.</w:t>
      </w:r>
      <w:r>
        <w:t xml:space="preserve"> Trajektori Kp dan Ki yang diaplikasikan pada CL01 setelah melalui batas gain dan pembatasan laju perubahan yang sama.</w:t>
      </w:r>
    </w:p>
    <w:p>
      <w:pPr>
        <w:keepNext/>
        <w:jc w:val="center"/>
      </w:pPr>
      <w:r>
        <w:drawing>
          <wp:inline xmlns:a="http://schemas.openxmlformats.org/drawingml/2006/main" xmlns:pic="http://schemas.openxmlformats.org/drawingml/2006/picture">
            <wp:extent cx="5630519" cy="3269727"/>
            <wp:docPr id="2045596146" name="Picture 2045596146"/>
            <wp:cNvGraphicFramePr>
              <a:graphicFrameLocks noChangeAspect="1"/>
            </wp:cNvGraphicFramePr>
            <a:graphic>
              <a:graphicData uri="http://schemas.openxmlformats.org/drawingml/2006/picture">
                <pic:pic>
                  <pic:nvPicPr>
                    <pic:cNvPr id="0" name="fig157_cl01_dump_duty_response.png"/>
                    <pic:cNvPicPr/>
                  </pic:nvPicPr>
                  <pic:blipFill>
                    <a:blip r:embed="rId28"/>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4.4.</w:t>
      </w:r>
      <w:r>
        <w:t xml:space="preserve"> Respons </w:t>
      </w:r>
      <w:r>
        <w:rPr>
          <w:i/>
        </w:rPr>
        <w:t>duty</w:t>
      </w:r>
      <w:r>
        <w:t xml:space="preserve"> </w:t>
      </w:r>
      <w:r>
        <w:rPr>
          <w:i/>
        </w:rPr>
        <w:t>dump load</w:t>
      </w:r>
      <w:r>
        <w:t xml:space="preserve"> pada CL01 untuk ketiga konfigurasi pengendali.</w:t>
      </w:r>
    </w:p>
    <w:p>
      <w:pPr>
        <w:pStyle w:val="FirstParagraph"/>
      </w:pPr>
      <w:r>
        <w:t>Respons CL01 karena itu memperlihatkan bahwa fleksibilitas penjadwalan gain tidak dengan sendirinya menghasilkan respons frekuensi yang lebih baik. Pada kondisi D40_L-20 yang diuji, PI gain tetap tetap menghasilkan RMSE terendah meskipun LSTM–PI dan QLSTM–PI dapat mengubah gain selama fase pemulihan.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CL02 (D20_L+10)</w:t>
      </w:r>
    </w:p>
    <w:p>
      <w:pPr>
        <w:pStyle w:val="FirstParagraph"/>
      </w:pPr>
      <w:r>
        <w:t xml:space="preserve">CL02 merepresentasikan kondisi daya mekanik 90 kW, daya </w:t>
      </w:r>
      <w:r>
        <w:rPr>
          <w:i/>
        </w:rPr>
        <w:t>dump</w:t>
      </w:r>
      <w:r>
        <w:t xml:space="preserve"> awal 20 kW, dan kenaikan beban konsumen sebesar 10 kW. Beban konsumen meningkat dari 70 kW menjadi 80 kW sehingga daya </w:t>
      </w:r>
      <w:r>
        <w:rPr>
          <w:i/>
        </w:rPr>
        <w:t>dump</w:t>
      </w:r>
      <w:r>
        <w:t xml:space="preserve"> yang diperlukan pada keseimbangan baru berkurang dari 20 kW menuju sekitar 10 kW.</w:t>
      </w:r>
    </w:p>
    <w:p>
      <w:pPr>
        <w:pStyle w:val="FirstParagraph"/>
      </w:pPr>
      <w:r>
        <w:t>PI gain tetap menghasilkan RMSE deviasi frekuensi sebesar 0,008319 Hz. LSTM–PI menghasilkan 0,007460 Hz sehingga RMSE menurun 10,33% dibandingkan PI gain tetap. QLSTM–PI menghasilkan RMSE 0,008388 Hz atau sekitar 0,83% lebih tinggi daripada PI gain tetap. Dengan demikian, hanya LSTM–PI yang menghasilkan RMSE lebih rendah daripada PI gain tetap pada CL02.</w:t>
      </w:r>
    </w:p>
    <w:p>
      <w:pPr>
        <w:keepNext/>
        <w:jc w:val="center"/>
      </w:pPr>
      <w:r>
        <w:drawing>
          <wp:inline xmlns:a="http://schemas.openxmlformats.org/drawingml/2006/main" xmlns:pic="http://schemas.openxmlformats.org/drawingml/2006/picture">
            <wp:extent cx="5630519" cy="3269727"/>
            <wp:docPr id="2045596147" name="Picture 2045596147"/>
            <wp:cNvGraphicFramePr>
              <a:graphicFrameLocks noChangeAspect="1"/>
            </wp:cNvGraphicFramePr>
            <a:graphic>
              <a:graphicData uri="http://schemas.openxmlformats.org/drawingml/2006/picture">
                <pic:pic>
                  <pic:nvPicPr>
                    <pic:cNvPr id="0" name="fig157_cl02_frequency_response.png"/>
                    <pic:cNvPicPr/>
                  </pic:nvPicPr>
                  <pic:blipFill>
                    <a:blip r:embed="rId29"/>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4.5.</w:t>
      </w:r>
      <w:r>
        <w:t xml:space="preserve"> Respons deviasi frekuensi pada CL02 (D20_L+10). LSTM–PI menghasilkan RMSE terendah pada skenario ini.</w:t>
      </w:r>
    </w:p>
    <w:p>
      <w:pPr>
        <w:pStyle w:val="FirstParagraph"/>
      </w:pPr>
      <w:r>
        <w:t>Hasil CL02 menunjukkan bahwa penjadwalan gain dapat memberikan manfaat pada kondisi operasi tertentu, tetapi temuan tersebut tidak dapat diperluas sebagai keunggulan LSTM–PI yang konsisten karena hasil CL01 menunjukkan arah yang berbeda. Dengan kata lain, manfaat LSTM–PI pada evaluasi primer bersifat bergantung pada keluarga dinamik yang diuji.</w:t>
      </w:r>
    </w:p>
    <w:p>
      <w:pPr>
        <w:pStyle w:val="FirstParagraph"/>
      </w:pPr>
      <w:r>
        <w:t xml:space="preserve">Pada CL02, rerata gain QLSTM–PI yang diaplikasikan adalah sekitar Kp = 3,26 dan Ki = 13,21. Nilai tersebut berada dekat sisi atas rentang gain yang dibekukan, yaitu Kp maksimum 3,36 dan Ki maksimum 14,144. </w:t>
      </w:r>
      <w:r>
        <w:rPr>
          <w:i/>
        </w:rPr>
        <w:t>Clip fraction</w:t>
      </w:r>
      <w:r>
        <w:t xml:space="preserve"> QLSTM–PI pada CL02 sebesar sekitar 0,689, sedangkan LSTM–PI tidak mengalami clipping pada skenario yang sama. Kondisi ini menunjukkan bahwa gain guard bekerja secara material pada keluaran QLSTM. Hubungan antara kondisi tersebut dan respons </w:t>
      </w:r>
      <w:r>
        <w:rPr>
          <w:i/>
        </w:rPr>
        <w:t>closed-loop</w:t>
      </w:r>
      <w:r>
        <w:t xml:space="preserve"> diperlakukan sebagai bukti deskriptif, bukan sebagai hubungan kausal yang berdiri sendiri.</w:t>
      </w:r>
    </w:p>
    <w:p>
      <w:pPr>
        <w:keepNext/>
        <w:jc w:val="center"/>
      </w:pPr>
      <w:r>
        <w:drawing>
          <wp:inline xmlns:a="http://schemas.openxmlformats.org/drawingml/2006/main" xmlns:pic="http://schemas.openxmlformats.org/drawingml/2006/picture">
            <wp:extent cx="5630519" cy="4621794"/>
            <wp:docPr id="2045596148" name="Picture 2045596148"/>
            <wp:cNvGraphicFramePr>
              <a:graphicFrameLocks noChangeAspect="1"/>
            </wp:cNvGraphicFramePr>
            <a:graphic>
              <a:graphicData uri="http://schemas.openxmlformats.org/drawingml/2006/picture">
                <pic:pic>
                  <pic:nvPicPr>
                    <pic:cNvPr id="0" name="fig157_cl02_applied_gain_trajectories.png"/>
                    <pic:cNvPicPr/>
                  </pic:nvPicPr>
                  <pic:blipFill>
                    <a:blip r:embed="rId30"/>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4.6.</w:t>
      </w:r>
      <w:r>
        <w:t xml:space="preserve"> Trajektori Kp dan Ki yang diaplikasikan pada CL02 setelah melalui kebijakan pembatasan gain yang sama.</w:t>
      </w:r>
    </w:p>
    <w:p>
      <w:pPr>
        <w:keepNext/>
        <w:jc w:val="center"/>
      </w:pPr>
      <w:r>
        <w:drawing>
          <wp:inline xmlns:a="http://schemas.openxmlformats.org/drawingml/2006/main" xmlns:pic="http://schemas.openxmlformats.org/drawingml/2006/picture">
            <wp:extent cx="5630519" cy="3269727"/>
            <wp:docPr id="2045596149" name="Picture 2045596149"/>
            <wp:cNvGraphicFramePr>
              <a:graphicFrameLocks noChangeAspect="1"/>
            </wp:cNvGraphicFramePr>
            <a:graphic>
              <a:graphicData uri="http://schemas.openxmlformats.org/drawingml/2006/picture">
                <pic:pic>
                  <pic:nvPicPr>
                    <pic:cNvPr id="0" name="fig157_cl02_dump_duty_response.png"/>
                    <pic:cNvPicPr/>
                  </pic:nvPicPr>
                  <pic:blipFill>
                    <a:blip r:embed="rId31"/>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4.7.</w:t>
      </w:r>
      <w:r>
        <w:t xml:space="preserve"> Respons </w:t>
      </w:r>
      <w:r>
        <w:rPr>
          <w:i/>
        </w:rPr>
        <w:t>duty</w:t>
      </w:r>
      <w:r>
        <w:t xml:space="preserve"> </w:t>
      </w:r>
      <w:r>
        <w:rPr>
          <w:i/>
        </w:rPr>
        <w:t>dump load</w:t>
      </w:r>
      <w:r>
        <w:t xml:space="preserve"> pada CL02 untuk ketiga konfigurasi pengendali.</w:t>
      </w:r>
    </w:p>
    <w:p>
      <w:pPr>
        <w:pStyle w:val="FirstParagraph"/>
      </w:pPr>
      <w:r>
        <w:t>Perbedaan hasil CL01 dan CL02 menegaskan bahwa evaluasi model penjadwal gain tidak cukup dilakukan dari satu kondisi operasi. Namun, karena evaluasi primer penelitian ini hanya terdiri atas dua keluarga dinamik independen, perbedaan tersebut tetap diperlakukan sebagai hasil deskriptif dan tidak digunakan untuk membuat klaim generalisasi yang lebih luas.</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Pengaruh Penjadwalan Gain terhadap Respons Dinamik</w:t>
      </w:r>
    </w:p>
    <w:p>
      <w:pPr>
        <w:pStyle w:val="FirstParagraph"/>
      </w:pPr>
      <w:r>
        <w:t>Seluruh dua belas simulasi mempertahankan frekuensi dalam rentang diagnostik 45–55 Hz. Kondisi tersebut menunjukkan bahwa ketiga konfigurasi dapat menyelesaikan skenario yang diuji tanpa keluar dari domain kestabilan diagnostik yang telah ditetapkan. Akan tetapi, pemenuhan kriteria tersebut tidak identik dengan peningkatan kualitas respons dinamik.</w:t>
      </w:r>
    </w:p>
    <w:p>
      <w:pPr>
        <w:pStyle w:val="FirstParagraph"/>
      </w:pPr>
      <w:r>
        <w:t xml:space="preserve">Pada kedua skenario primer, simpangan frekuensi absolut maksimum terjadi pada t = 2,60 s, sedangkan RoCoF absolut maksimum terjadi pada t = 2,50 s. Pembaruan gain adaptif pertama juga dijadwalkan pada t = 2,60 s. Oleh karena itu, simpangan puncak terjadi </w:t>
      </w:r>
      <w:r>
        <w:rPr>
          <w:b/>
        </w:rPr>
        <w:t>tidak lebih lambat daripada</w:t>
      </w:r>
      <w:r>
        <w:t xml:space="preserve"> pembaruan adaptif pertama, sedangkan RoCoF maksimum terbentuk sebelum pembaruan tersebut. Pernyataan ini lebih tepat daripada menganggap seluruh simpangan puncak terjadi sebelum pengendali adaptif mulai bekerja.</w:t>
      </w:r>
    </w:p>
    <w:p>
      <w:pPr>
        <w:pStyle w:val="FirstParagraph"/>
      </w:pPr>
      <w:r>
        <w:t>Pada masing-masing skenario primer, nilai simpangan puncak dan RoCoF maksimum identik untuk PI gain tetap, LSTM–PI, dan QLSTM–PI. Dengan cadence observasi 20 Hz dan pembaruan gain 10 Hz yang dibekukan, bukti tersebut menunjukkan bahwa perbedaan antarpengendali terutama muncul pada fase respons setelah ekstrem awal, yang kemudian tercermin pada RMSE selama horizon evaluasi. Temuan ini tidak digunakan untuk menyimpulkan bahwa penjadwalan gain secara umum tidak dapat memengaruhi puncak transien pada konfigurasi waktu pembaruan yang berbeda.</w:t>
      </w:r>
    </w:p>
    <w:p>
      <w:pPr>
        <w:pStyle w:val="FirstParagraph"/>
      </w:pPr>
      <w:r>
        <w:t xml:space="preserve">Perbedaan antarpengendali juga terlihat pada aktivitas </w:t>
      </w:r>
      <w:r>
        <w:rPr>
          <w:i/>
        </w:rPr>
        <w:t>dump load</w:t>
      </w:r>
      <w:r>
        <w:t xml:space="preserve">. Pada dua keluarga uji primer, rerata </w:t>
      </w:r>
      <w:r>
        <w:rPr>
          <w:i/>
        </w:rPr>
        <w:t>total variation duty</w:t>
      </w:r>
      <w:r>
        <w:t xml:space="preserve"> QLSTM–PI sekitar 6,40 kali PI gain tetap dan 5,57 kali LSTM–PI. Gain guard tercatat aktif secara material dan tidak terjadi </w:t>
      </w:r>
      <w:r>
        <w:rPr>
          <w:i/>
        </w:rPr>
        <w:t>fallback</w:t>
      </w:r>
      <w:r>
        <w:t xml:space="preserve"> model. Aktivitas kendali QLSTM–PI yang lebih besar tersebut tidak disertai RMSE yang lebih rendah pada kedua keluarga uji primer. Hubungan ini diperlakukan sebagai karakteristik implementasi yang diamati, bukan sebagai bukti bahwa variasi </w:t>
      </w:r>
      <w:r>
        <w:rPr>
          <w:i/>
        </w:rPr>
        <w:t>duty</w:t>
      </w:r>
      <w:r>
        <w:t xml:space="preserve"> yang tinggi secara tunggal menyebabkan penurunan kinerja frekuensi.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Beban Komputasi</w:t>
      </w:r>
    </w:p>
    <w:p>
      <w:pPr>
        <w:pStyle w:val="FirstParagraph"/>
      </w:pPr>
      <w:r>
        <w:t xml:space="preserve">Beban komputasi dievaluasi dari waktu eksekusi simulasi </w:t>
      </w:r>
      <w:r>
        <w:rPr>
          <w:i/>
        </w:rPr>
        <w:t>closed-loop</w:t>
      </w:r>
      <w:r>
        <w:t xml:space="preserve"> 10 s pada implementasi CPU yang digunakan. Rerata waktu satu simulasi adalah 0,675 s untuk PI gain tetap, 0,897 s untuk LSTM–PI, dan 32,570 s untuk QLSTM–PI. Dengan konfigurasi perangkat lunak dan perangkat keras yang sama pada pengujian ini, rerata waktu simulasi QLSTM–PI sekitar 36,33 kali waktu simulasi LSTM–PI.</w:t>
      </w:r>
    </w:p>
    <w:p>
      <w:pPr>
        <w:keepNext/>
        <w:jc w:val="center"/>
      </w:pPr>
      <w:r>
        <w:drawing>
          <wp:inline xmlns:a="http://schemas.openxmlformats.org/drawingml/2006/main" xmlns:pic="http://schemas.openxmlformats.org/drawingml/2006/picture">
            <wp:extent cx="5630519" cy="3719051"/>
            <wp:docPr id="2045596150" name="Picture 2045596150"/>
            <wp:cNvGraphicFramePr>
              <a:graphicFrameLocks noChangeAspect="1"/>
            </wp:cNvGraphicFramePr>
            <a:graphic>
              <a:graphicData uri="http://schemas.openxmlformats.org/drawingml/2006/picture">
                <pic:pic>
                  <pic:nvPicPr>
                    <pic:cNvPr id="0" name="fig157_computational_runtime_comparison.png"/>
                    <pic:cNvPicPr/>
                  </pic:nvPicPr>
                  <pic:blipFill>
                    <a:blip r:embed="rId32"/>
                    <a:stretch>
                      <a:fillRect/>
                    </a:stretch>
                  </pic:blipFill>
                  <pic:spPr>
                    <a:xfrm>
                      <a:off x="0" y="0"/>
                      <a:ext cx="5630519" cy="3719051"/>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4.8.</w:t>
      </w:r>
      <w:r>
        <w:t xml:space="preserve"> Perbandingan rerata waktu komputasi simulasi </w:t>
      </w:r>
      <w:r>
        <w:rPr>
          <w:i/>
        </w:rPr>
        <w:t>closed-loop</w:t>
      </w:r>
      <w:r>
        <w:t xml:space="preserve"> pada implementasi CPU yang digunakan.</w:t>
      </w:r>
    </w:p>
    <w:p>
      <w:pPr>
        <w:pStyle w:val="FirstParagraph"/>
      </w:pPr>
      <w:r>
        <w:t xml:space="preserve">Estimasi </w:t>
      </w:r>
      <w:r>
        <w:rPr>
          <w:i/>
        </w:rPr>
        <w:t>paired overhead</w:t>
      </w:r>
      <w:r>
        <w:t xml:space="preserve"> terhadap PI gain tetap adalah sekitar 0,0030 s per pembaruan gain untuk LSTM–PI dan 0,4310 s per pembaruan untuk QLSTM–PI. Periode pembaruan gain yang dibekukan adalah 0,10 s. Berdasarkan pengukuran implementasi tersebut, overhead LSTM–PI masih berada di bawah anggaran waktu nominal pembaruan 10 Hz, sedangkan implementasi QLSTM–PI yang digunakan belum menunjukkan kemampuan memenuhi anggaran yang sama.</w:t>
      </w:r>
    </w:p>
    <w:p>
      <w:pPr>
        <w:pStyle w:val="FirstParagraph"/>
      </w:pPr>
      <w:r>
        <w:t xml:space="preserve">Nilai </w:t>
      </w:r>
      <w:r>
        <w:rPr>
          <w:i/>
        </w:rPr>
        <w:t>paired overhead</w:t>
      </w:r>
      <w:r>
        <w:t xml:space="preserve"> tersebut </w:t>
      </w:r>
      <w:r>
        <w:rPr>
          <w:b/>
        </w:rPr>
        <w:t>bukan pengukuran latensi inferensi model secara terisolasi</w:t>
      </w:r>
      <w:r>
        <w:t xml:space="preserve">. Pengukuran mencakup overhead implementasi yang muncul selama simulasi </w:t>
      </w:r>
      <w:r>
        <w:rPr>
          <w:i/>
        </w:rPr>
        <w:t>closed-loop</w:t>
      </w:r>
      <w:r>
        <w:t xml:space="preserve">, termasuk komponen simulasi PennyLane pada CPU. Oleh karena itu, rasio waktu komputasi yang diperoleh tidak digunakan untuk menyatakan latensi intrinsik komputasi kuantum, keunggulan atau kelemahan perangkat keras kuantum, maupun </w:t>
      </w:r>
      <w:r>
        <w:rPr>
          <w:i/>
        </w:rPr>
        <w:t>quantum speedup</w:t>
      </w:r>
      <w:r>
        <w:t xml:space="preserve">. Hasil ini hanya menunjukkan beban komputasi dari implementasi </w:t>
      </w:r>
      <w:r>
        <w:rPr>
          <w:i/>
        </w:rPr>
        <w:t>hybrid quantum–classical</w:t>
      </w:r>
      <w:r>
        <w:t xml:space="preserve"> yang digunakan dalam lingkungan simulasi penelitian ini.</w:t>
      </w:r>
    </w:p>
    <w:p>
      <w:pPr>
        <w:pStyle w:val="FirstParagraph"/>
      </w:pPr>
      <w:r>
        <w:t>Dari sudut pandang implementasi pengendali, hasil tersebut tetap relevan karena scheduler harus menghasilkan gain dalam periode pembaruan yang tersedia. Dengan demikian, selain kualitas pengendalian frekuensi, kebutuhan komputasi menjadi salah satu keterbatasan praktis QLSTM–PI pada konfigurasi simulasi yang diuji.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Sintesis Hasil dan Posisi QLSTM</w:t>
      </w:r>
    </w:p>
    <w:p>
      <w:pPr>
        <w:pStyle w:val="FirstParagraph"/>
      </w:pPr>
      <w:r>
        <w:t xml:space="preserve">Hasil penelitian menunjukkan bahwa kinerja model dalam mengestimasi gain dan kinerja sistem setelah gain tersebut diterapkan pada </w:t>
      </w:r>
      <w:r>
        <w:rPr>
          <w:i/>
        </w:rPr>
        <w:t>closed-loop</w:t>
      </w:r>
      <w:r>
        <w:t xml:space="preserve"> perlu dibedakan secara eksplisit. Pada data uji model, MSE target terstandardisasi QLSTM sebesar 2,963549 atau sekitar 241,18% lebih tinggi daripada LSTM yang menghasilkan MSE 0,868629. Pada evaluasi </w:t>
      </w:r>
      <w:r>
        <w:rPr>
          <w:i/>
        </w:rPr>
        <w:t>closed-loop</w:t>
      </w:r>
      <w:r>
        <w:t xml:space="preserve"> primer, rerata RMSE QLSTM–PI sebesar 0,016150 Hz atau 16,95% lebih tinggi daripada LSTM–PI yang menghasilkan 0,013810 Hz. Perbedaan besarnya kedua persentase tersebut menunjukkan bahwa galat estimasi gain dan perubahan kinerja pengendalian frekuensi tidak membentuk hubungan proporsional langsung.</w:t>
      </w:r>
    </w:p>
    <w:p>
      <w:pPr>
        <w:pStyle w:val="FirstParagraph"/>
      </w:pPr>
      <w:r>
        <w:t xml:space="preserve">Hubungan antara keluaran model dan respons pengendalian dipengaruhi oleh penerapan </w:t>
      </w:r>
      <w:r>
        <w:rPr>
          <w:i/>
        </w:rPr>
        <w:t>inverse scaling</w:t>
      </w:r>
      <w:r>
        <w:t xml:space="preserve">, pembatasan gain, pembatasan laju perubahan gain, dinamika plant, kondisi operasi, serta sensitivitas sistem terhadap pasangan Kp dan Ki yang diaplikasikan. Oleh karena itu, peningkatan galat regresi gain tidak ditafsirkan sebagai peningkatan galat frekuensi dengan faktor yang sama. Sebaliknya, kualitas model juga tidak dinilai hanya dari MSE regresi tanpa memeriksa konsekuensinya setelah diintegrasikan ke sistem </w:t>
      </w:r>
      <w:r>
        <w:rPr>
          <w:i/>
        </w:rPr>
        <w:t>closed-loop</w:t>
      </w:r>
      <w:r>
        <w:t>.</w:t>
      </w:r>
    </w:p>
    <w:p>
      <w:pPr>
        <w:pStyle w:val="FirstParagraph"/>
      </w:pPr>
      <w:r>
        <w:t xml:space="preserve">Pada empat skenario deterministik yang telah ditetapkan sebelum eksperimen, LSTM–PI menghasilkan RMSE lebih rendah daripada QLSTM–PI pada empat dari empat skenario. Temuan tersebut tetap memerlukan pembatasan ruang lingkup karena hanya CL01 dan CL02 yang merupakan keluarga dinamik uji independen untuk klaim primer. CL03 merupakan </w:t>
      </w:r>
      <w:r>
        <w:rPr>
          <w:i/>
        </w:rPr>
        <w:t>boundary stress</w:t>
      </w:r>
      <w:r>
        <w:t>, sedangkan CL04 merupakan diagnostik G3 dalam distribusi pelatihan. Dengan demikian, hasil empat skenario tidak diperlakukan sebagai empat replikasi independen untuk inferensi statistik.</w:t>
      </w:r>
    </w:p>
    <w:p>
      <w:pPr>
        <w:pStyle w:val="FirstParagraph"/>
      </w:pPr>
      <w:r>
        <w:t xml:space="preserve">Pada CL03, RMSE PI gain tetap, LSTM–PI, dan QLSTM–PI masing-masing sebesar 0,059777 Hz, 0,059768 Hz, dan 0,060131 Hz. Perbedaan tersebut sangat kecil dan hanya digunakan untuk menggambarkan perilaku pengendali pada kondisi </w:t>
      </w:r>
      <w:r>
        <w:rPr>
          <w:i/>
        </w:rPr>
        <w:t>boundary stress</w:t>
      </w:r>
      <w:r>
        <w:t>. Hasil CL03 tidak digunakan untuk memperluas klaim kinerja primer.</w:t>
      </w:r>
    </w:p>
    <w:p>
      <w:pPr>
        <w:pStyle w:val="FirstParagraph"/>
      </w:pPr>
      <w:r>
        <w:t xml:space="preserve">Pada CL04, PI gain tetap menghasilkan RMSE 0,016638 Hz, LSTM–PI 0,015532 Hz, dan QLSTM–PI 0,015833 Hz. Dibandingkan PI gain tetap, RMSE LSTM–PI menurun sekitar 6,65% dan RMSE QLSTM–PI menurun sekitar 4,84%. Walaupun kedua penjadwal adaptif memberikan RMSE yang lebih rendah pada kasus tersebut, CL04 berasal dari keluarga G3 yang berada dalam distribusi pelatihan. Hasil tersebut karena itu hanya berfungsi sebagai diagnostik dan </w:t>
      </w:r>
      <w:r>
        <w:rPr>
          <w:b/>
        </w:rPr>
        <w:t>tidak menjadi bukti generalisasi independen terhadap G3</w:t>
      </w:r>
      <w:r>
        <w:t>.</w:t>
      </w:r>
    </w:p>
    <w:p>
      <w:pPr>
        <w:pStyle w:val="FirstParagraph"/>
      </w:pPr>
      <w:r>
        <w:t xml:space="preserve">Posisi QLSTM dalam penelitian ini dengan demikian bukan sebagai metode yang terbukti lebih unggul daripada LSTM atau PI gain tetap. QLSTM menunjukkan bahwa arsitektur </w:t>
      </w:r>
      <w:r>
        <w:rPr>
          <w:i/>
        </w:rPr>
        <w:t>hybrid quantum–classical</w:t>
      </w:r>
      <w:r>
        <w:t xml:space="preserve"> dapat diintegrasikan sebagai penjadwal gain PI, menghasilkan gain yang tetap berada dalam kebijakan keselamatan yang dibekukan, dan menyelesaikan seluruh skenario deterministik dalam rentang kestabilan diagnostik 45–55 Hz. Namun, pada konfigurasi yang diuji, QLSTM belum menghasilkan akurasi estimasi gain maupun RMSE </w:t>
      </w:r>
      <w:r>
        <w:rPr>
          <w:i/>
        </w:rPr>
        <w:t>closed-loop</w:t>
      </w:r>
      <w:r>
        <w:t xml:space="preserve"> primer yang lebih baik daripada LSTM. QLSTM juga disertai aktivitas </w:t>
      </w:r>
      <w:r>
        <w:rPr>
          <w:i/>
        </w:rPr>
        <w:t>dump-duty</w:t>
      </w:r>
      <w:r>
        <w:t xml:space="preserve"> dan beban komputasi yang lebih besar pada implementasi simulasi yang digunakan.</w:t>
      </w:r>
    </w:p>
    <w:p>
      <w:pPr>
        <w:pStyle w:val="FirstParagraph"/>
      </w:pPr>
      <w:r>
        <w:t>Hasil negatif tersebut dipertahankan sebagai bagian dari temuan penelitian. Evaluasi ini menunjukkan kondisi dan batas implementasi QLSTM sebagai penjadwal gain PI pada ELC PLTMH tanpa mengubah model, skenario, scheduler, ataupun simulator setelah hasil pengujian diketahui.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Keterbatasan Hasil</w:t>
      </w:r>
    </w:p>
    <w:p>
      <w:pPr>
        <w:pStyle w:val="FirstParagraph"/>
      </w:pPr>
      <w:r>
        <w:t>Interpretasi hasil dibatasi oleh rancangan penelitian dan ruang model yang digunakan. Keterbatasan pertama berkaitan dengan jumlah unit evaluasi independen. Evaluasi primer hanya memiliki dua keluarga dinamik uji independen, yaitu D40_L-20 dan D20_L+10. Jumlah tersebut belum memadai untuk mendukung uji signifikansi statistik pada tingkat keluarga. Oleh sebab itu, perbandingan rerata RMSE pada penelitian ini diperlakukan sebagai hasil deskriptif.</w:t>
      </w:r>
    </w:p>
    <w:p>
      <w:pPr>
        <w:pStyle w:val="FirstParagraph"/>
      </w:pPr>
      <w:r>
        <w:t xml:space="preserve">Keterbatasan kedua berkaitan dengan struktur data temporal. Ribuan titik waktu RK4 maupun </w:t>
      </w:r>
      <w:r>
        <w:rPr>
          <w:i/>
        </w:rPr>
        <w:t>window</w:t>
      </w:r>
      <w:r>
        <w:t xml:space="preserve"> temporal dari satu keluarga dinamik berasal dari realisasi sistem yang sama dan tidak diperlakukan sebagai observasi independen. Konsekuensinya, jumlah titik waktu tersebut tidak digunakan untuk memperbesar ukuran sampel statistik, menghitung nilai p, atau membuat klaim signifikansi yang tidak didukung oleh jumlah keluarga independen.</w:t>
      </w:r>
    </w:p>
    <w:p>
      <w:pPr>
        <w:pStyle w:val="FirstParagraph"/>
      </w:pPr>
      <w:r>
        <w:t xml:space="preserve">Keterbatasan ketiga berasal dari ruang model plant. Simulasi menggunakan ELC </w:t>
      </w:r>
      <w:r>
        <w:rPr>
          <w:i/>
        </w:rPr>
        <w:t>averaged</w:t>
      </w:r>
      <w:r>
        <w:t xml:space="preserve">, daya mekanik konstan, serta model generator sinkron yang telah ditetapkan, tanpa mengaktifkan dinamika governor dan </w:t>
      </w:r>
      <w:r>
        <w:rPr>
          <w:i/>
        </w:rPr>
        <w:t>waterway</w:t>
      </w:r>
      <w:r>
        <w:t>. Dengan demikian, hasil penelitian berlaku pada konfigurasi model tersebut dan belum secara langsung menunjukkan kinerja pada plant fisik dengan seluruh dinamika hidraulik, aktuator, pengukuran, dan ketidakpastian lapangan.</w:t>
      </w:r>
    </w:p>
    <w:p>
      <w:pPr>
        <w:pStyle w:val="FirstParagraph"/>
      </w:pPr>
      <w:r>
        <w:t>Keterbatasan keempat berkaitan dengan kebijakan temporal pengendali. Observasi model dilakukan pada 20 Hz dan pembaruan gain pada 10 Hz, dengan pembaruan adaptif pertama pada t = 2,60 s setelah gangguan diterapkan pada t = 2,50 s. RoCoF maksimum pada dua skenario primer terjadi pada t = 2,50 s, sedangkan simpangan frekuensi absolut maksimum terjadi pada t = 2,60 s. Karena simpangan puncak terjadi tidak lebih lambat daripada pembaruan adaptif pertama dan nilainya identik untuk ketiga konfigurasi, eksperimen ini tidak menunjukkan adanya pengurangan ekstrem awal oleh penjadwal adaptif pada kebijakan waktu yang dibekukan. Temuan tersebut tidak digunakan untuk menyimpulkan perilaku pada cadence observasi atau pembaruan gain yang berbeda.</w:t>
      </w:r>
    </w:p>
    <w:p>
      <w:pPr>
        <w:pStyle w:val="FirstParagraph"/>
      </w:pPr>
      <w:r>
        <w:t>Keterbatasan kelima berkaitan dengan cakupan regime target. Regime G3 tidak tersedia sebagai keluarga uji independen pada pembagian data akhir. CL04 yang menggunakan G3 berasal dari keluarga pelatihan dan hanya digunakan sebagai diagnostik dalam distribusi. Oleh karena itu, penelitian ini tidak membuat klaim generalisasi independen terhadap G3.</w:t>
      </w:r>
    </w:p>
    <w:p>
      <w:pPr>
        <w:pStyle w:val="FirstParagraph"/>
      </w:pPr>
      <w:r>
        <w:t xml:space="preserve">Keterbatasan keenam berkaitan dengan beban komputasi. Pengukuran pada implementasi CPU/PennyLane menunjukkan bahwa QLSTM–PI belum memenuhi anggaran waktu nominal pembaruan gain 10 Hz pada konfigurasi perangkat lunak yang diuji. Pengukuran tersebut mencakup overhead simulasi dan bukan latensi inferensi perangkat keras kuantum secara terisolasi. Karena itu, hasil ini tidak dapat digunakan sebagai dasar untuk menyatakan </w:t>
      </w:r>
      <w:r>
        <w:rPr>
          <w:i/>
        </w:rPr>
        <w:t>quantum speedup</w:t>
      </w:r>
      <w:r>
        <w:t xml:space="preserve"> ataupun membandingkan efisiensi intrinsik perangkat keras klasik dan kuantum.</w:t>
      </w:r>
    </w:p>
    <w:p>
      <w:pPr>
        <w:pStyle w:val="FirstParagraph"/>
      </w:pPr>
      <w:r>
        <w:t xml:space="preserve">Keterbatasan-keterbatasan tersebut menentukan ruang berlakunya kesimpulan. Perluasan hasil di luar ruang tersebut memerlukan evaluasi tambahan yang dirancang terlebih dahulu, bukan perubahan </w:t>
      </w:r>
      <w:r>
        <w:rPr>
          <w:i/>
        </w:rPr>
        <w:t>post hoc</w:t>
      </w:r>
      <w:r>
        <w:t xml:space="preserve"> terhadap model atau protokol yang telah menghasilkan hasil primer penelitian ini.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Ringkasan Bab</w:t>
      </w:r>
    </w:p>
    <w:p>
      <w:pPr>
        <w:pStyle w:val="FirstParagraph"/>
      </w:pPr>
      <w:r>
        <w:t xml:space="preserve">Bab ini mengevaluasi LSTM–PI dan QLSTM–PI sebagai penjadwal gain pada ELC PLTMH dengan PI gain tetap sebagai pembanding. Pada tahap estimasi gain, LSTM menghasilkan galat lebih rendah daripada QLSTM pada data uji yang dibekukan. Setelah diintegrasikan ke </w:t>
      </w:r>
      <w:r>
        <w:rPr>
          <w:i/>
        </w:rPr>
        <w:t>closed-loop</w:t>
      </w:r>
      <w:r>
        <w:t>, seluruh dua belas run deterministik tetap berada dalam rentang kestabilan diagnostik 45–55 Hz, tetapi peningkatan kinerja akibat penjadwalan gain tidak konsisten antar-kondisi operasi.</w:t>
      </w:r>
    </w:p>
    <w:p>
      <w:pPr>
        <w:pStyle w:val="FirstParagraph"/>
      </w:pPr>
      <w:r>
        <w:t>Pada dua keluarga dinamik uji independen, PI gain tetap menghasilkan rerata RMSE terendah sebesar 0,012478 Hz. LSTM–PI menghasilkan 0,013810 Hz dan QLSTM–PI 0,016150 Hz. LSTM–PI menghasilkan RMSE lebih rendah daripada PI gain tetap pada CL02 tetapi lebih tinggi pada CL01, sedangkan QLSTM–PI tidak menghasilkan RMSE terendah pada salah satu dari kedua skenario primer. Perbandingan tersebut bersifat deskriptif karena unit evaluasi independen primer hanya terdiri atas dua keluarga dinamik.</w:t>
      </w:r>
    </w:p>
    <w:p>
      <w:pPr>
        <w:pStyle w:val="FirstParagraph"/>
      </w:pPr>
      <w:r>
        <w:t xml:space="preserve">Hasil model dan hasil </w:t>
      </w:r>
      <w:r>
        <w:rPr>
          <w:i/>
        </w:rPr>
        <w:t>closed-loop</w:t>
      </w:r>
      <w:r>
        <w:t xml:space="preserve"> juga menunjukkan bahwa galat estimasi gain tidak mempunyai hubungan proporsional langsung dengan degradasi respons frekuensi. Selain itu, implementasi QLSTM–PI menghasilkan variasi </w:t>
      </w:r>
      <w:r>
        <w:rPr>
          <w:i/>
        </w:rPr>
        <w:t>dump-duty</w:t>
      </w:r>
      <w:r>
        <w:t xml:space="preserve"> yang lebih besar dan membutuhkan waktu komputasi yang jauh lebih tinggi daripada LSTM–PI pada lingkungan simulasi CPU/PennyLane yang digunakan. Hasil beban komputasi tersebut merupakan karakteristik implementasi penelitian dan bukan bukti mengenai keunggulan atau kelemahan intrinsik perangkat keras kuantum.</w:t>
      </w:r>
    </w:p>
    <w:p>
      <w:pPr>
        <w:pStyle w:val="FirstParagraph"/>
      </w:pPr>
      <w:r>
        <w:t xml:space="preserve">Bukti primer penelitian ini tidak mendukung superioritas QLSTM–PI terhadap PI gain tetap maupun LSTM–PI. Hasil CL03 tetap diposisikan sebagai </w:t>
      </w:r>
      <w:r>
        <w:rPr>
          <w:i/>
        </w:rPr>
        <w:t>boundary stress</w:t>
      </w:r>
      <w:r>
        <w:t xml:space="preserve">, sedangkan hasil CL04 hanya merupakan diagnostik G3 dalam distribusi pelatihan dan tidak digunakan sebagai bukti generalisasi G3 independen. Tidak ada klaim signifikansi statistik maupun </w:t>
      </w:r>
      <w:r>
        <w:rPr>
          <w:i/>
        </w:rPr>
        <w:t>quantum advantage</w:t>
      </w:r>
      <w:r>
        <w:t xml:space="preserve"> yang dibuat dari hasil tersebut.</w:t>
      </w:r>
    </w:p>
    <w:p>
      <w:pPr>
        <w:pStyle w:val="FirstParagraph"/>
      </w:pPr>
      <w:r>
        <w:t xml:space="preserve">Dengan demikian, kontribusi hasil penelitian terletak pada evaluasi terkontrol terhadap penggunaan QLSTM sebagai penjadwal gain PI pada ELC PLTMH, termasuk identifikasi keterbatasan akurasi, kinerja </w:t>
      </w:r>
      <w:r>
        <w:rPr>
          <w:i/>
        </w:rPr>
        <w:t>closed-loop</w:t>
      </w:r>
      <w:r>
        <w:t>, aktivitas kendali, dan beban komputasi pada konfigurasi yang diuji. Hasil negatif QLSTM dipertahankan sebagai temuan ilmiah dan menjadi dasar yang objektif untuk perumusan kesimpulan serta rekomendasi penelitian selanjutnya pada Bab V.</w:t>
      </w: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