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A5FEC" w:rsidTr="0074016B">
        <w:tc>
          <w:tcPr>
            <w:tcW w:w="2880" w:type="dxa"/>
            <w:shd w:val="clear" w:color="auto" w:fill="E36C0A" w:themeFill="accent6" w:themeFillShade="BF"/>
          </w:tcPr>
          <w:p w:rsidR="007A5FEC" w:rsidRPr="0074016B" w:rsidRDefault="00533CFB" w:rsidP="0074016B">
            <w:pPr>
              <w:jc w:val="center"/>
              <w:rPr>
                <w:b/>
              </w:rPr>
            </w:pPr>
            <w:bookmarkStart w:id="0" w:name="_GoBack" w:colFirst="1" w:colLast="1"/>
            <w:r w:rsidRPr="0074016B">
              <w:rPr>
                <w:b/>
              </w:rPr>
              <w:t>Occupation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7A5FEC" w:rsidRPr="0074016B" w:rsidRDefault="00533CFB" w:rsidP="0074016B">
            <w:pPr>
              <w:jc w:val="center"/>
              <w:rPr>
                <w:b/>
              </w:rPr>
            </w:pPr>
            <w:r w:rsidRPr="0074016B">
              <w:rPr>
                <w:b/>
              </w:rPr>
              <w:t>Frequency</w:t>
            </w:r>
          </w:p>
        </w:tc>
        <w:tc>
          <w:tcPr>
            <w:tcW w:w="2880" w:type="dxa"/>
            <w:shd w:val="clear" w:color="auto" w:fill="E36C0A" w:themeFill="accent6" w:themeFillShade="BF"/>
          </w:tcPr>
          <w:p w:rsidR="007A5FEC" w:rsidRPr="0074016B" w:rsidRDefault="00533CFB" w:rsidP="0074016B">
            <w:pPr>
              <w:jc w:val="center"/>
              <w:rPr>
                <w:b/>
              </w:rPr>
            </w:pPr>
            <w:r w:rsidRPr="0074016B">
              <w:rPr>
                <w:b/>
              </w:rPr>
              <w:t>Percentages</w:t>
            </w:r>
          </w:p>
        </w:tc>
      </w:tr>
      <w:tr w:rsidR="007A5FEC" w:rsidTr="0074016B"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r>
              <w:t>No code required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149984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26.3%</w:t>
            </w:r>
          </w:p>
        </w:tc>
      </w:tr>
      <w:tr w:rsidR="007A5FEC" w:rsidTr="0074016B"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r>
              <w:t>Professional Occupations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64111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11.3%</w:t>
            </w:r>
          </w:p>
        </w:tc>
      </w:tr>
      <w:tr w:rsidR="007A5FEC" w:rsidTr="0074016B"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r>
              <w:t>Elementary Occupations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58483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10.3%</w:t>
            </w:r>
          </w:p>
        </w:tc>
      </w:tr>
      <w:tr w:rsidR="007A5FEC" w:rsidTr="0074016B"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r>
              <w:t>Administrative and Secretarial Occupations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53254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9.3%</w:t>
            </w:r>
          </w:p>
        </w:tc>
      </w:tr>
      <w:tr w:rsidR="007A5FEC" w:rsidTr="0074016B"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r>
              <w:t xml:space="preserve">Skilled Trades </w:t>
            </w:r>
            <w:r>
              <w:t>Occupations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48546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8.5%</w:t>
            </w:r>
          </w:p>
        </w:tc>
      </w:tr>
      <w:tr w:rsidR="007A5FEC" w:rsidTr="0074016B"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r>
              <w:t>Associate Professional and Technical Occupations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44937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7.9%</w:t>
            </w:r>
          </w:p>
        </w:tc>
      </w:tr>
      <w:tr w:rsidR="007A5FEC" w:rsidTr="0074016B"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r>
              <w:t>Managers, Directors and Senior Officials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39788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7.0%</w:t>
            </w:r>
          </w:p>
        </w:tc>
      </w:tr>
      <w:tr w:rsidR="007A5FEC" w:rsidTr="0074016B"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r>
              <w:t>Sales and Customer Service Occupations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38523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6.8%</w:t>
            </w:r>
          </w:p>
        </w:tc>
      </w:tr>
      <w:tr w:rsidR="007A5FEC" w:rsidTr="0074016B"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r>
              <w:t xml:space="preserve">Caring, Leisure and Other </w:t>
            </w:r>
            <w:r>
              <w:t>Service Occupations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37297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6.5%</w:t>
            </w:r>
          </w:p>
        </w:tc>
      </w:tr>
      <w:tr w:rsidR="007A5FEC" w:rsidTr="0074016B"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r>
              <w:t>Process, Plant and Machine Operatives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34817</w:t>
            </w:r>
          </w:p>
        </w:tc>
        <w:tc>
          <w:tcPr>
            <w:tcW w:w="2880" w:type="dxa"/>
            <w:shd w:val="clear" w:color="auto" w:fill="FABF8F" w:themeFill="accent6" w:themeFillTint="99"/>
          </w:tcPr>
          <w:p w:rsidR="007A5FEC" w:rsidRDefault="00533CFB" w:rsidP="0074016B">
            <w:pPr>
              <w:jc w:val="center"/>
            </w:pPr>
            <w:r>
              <w:t>6.1%</w:t>
            </w:r>
          </w:p>
        </w:tc>
      </w:tr>
      <w:bookmarkEnd w:id="0"/>
    </w:tbl>
    <w:p w:rsidR="00533CFB" w:rsidRDefault="00533CFB"/>
    <w:sectPr w:rsidR="00533C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3CFB"/>
    <w:rsid w:val="0074016B"/>
    <w:rsid w:val="007A5FE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9896E267-251B-4F89-A3FE-727B4869A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C8DCA6-B5C7-49A3-842B-34D0AD01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Giorgos Karalis</cp:lastModifiedBy>
  <cp:revision>3</cp:revision>
  <dcterms:created xsi:type="dcterms:W3CDTF">2013-12-23T23:15:00Z</dcterms:created>
  <dcterms:modified xsi:type="dcterms:W3CDTF">2020-11-13T23:55:00Z</dcterms:modified>
  <cp:category/>
</cp:coreProperties>
</file>