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23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4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2023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null null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: 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 xml:space="preserve">: 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CMND/CCCD: 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: 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Nam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12/12/2001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Ha Noi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1232454342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01234567889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x, x, x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5,000,000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2,000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2,000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2,000,000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>Nam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null null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2023-04-09T07:39:00Z</dcterms:modified>
  <cp:revision>229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