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 w:eastAsia="PingFang SC"/>
          <w:b/>
          <w:color w:val="2E74B5"/>
          <w:sz w:val="20"/>
        </w:rPr>
        <w:t>AMAZON US · SPONSORED PRODUCTS</w:t>
      </w:r>
    </w:p>
    <w:p>
      <w:pPr>
        <w:spacing w:after="80"/>
      </w:pPr>
      <w:r>
        <w:rPr>
          <w:rFonts w:ascii="Calibri" w:hAnsi="Calibri" w:eastAsia="PingFang SC"/>
          <w:b/>
          <w:color w:val="0B2545"/>
          <w:sz w:val="50"/>
        </w:rPr>
        <w:t>W8K4 SP 广告诊断与优化方案</w:t>
      </w:r>
    </w:p>
    <w:p>
      <w:pPr>
        <w:spacing w:after="280"/>
      </w:pPr>
      <w:r>
        <w:rPr>
          <w:rFonts w:ascii="Calibri" w:hAnsi="Calibri" w:eastAsia="PingFang SC"/>
          <w:color w:val="5D6670"/>
          <w:sz w:val="26"/>
        </w:rPr>
        <w:t>BRONAX 儿童易穿脱帆布宽头赤足鞋｜预算效率、架构与变体归因</w:t>
      </w:r>
    </w:p>
    <w:p>
      <w:pPr>
        <w:spacing w:after="40"/>
      </w:pPr>
      <w:r>
        <w:rPr>
          <w:rFonts w:ascii="Calibri" w:hAnsi="Calibri" w:eastAsia="PingFang SC"/>
          <w:b/>
          <w:color w:val="0B2545"/>
          <w:sz w:val="21"/>
        </w:rPr>
        <w:t>站点：</w:t>
      </w:r>
      <w:r>
        <w:rPr>
          <w:rFonts w:ascii="Calibri" w:hAnsi="Calibri" w:eastAsia="PingFang SC"/>
          <w:color w:val="111111"/>
          <w:sz w:val="21"/>
        </w:rPr>
        <w:t>Amazon US</w:t>
      </w:r>
    </w:p>
    <w:p>
      <w:pPr>
        <w:spacing w:after="40"/>
      </w:pPr>
      <w:r>
        <w:rPr>
          <w:rFonts w:ascii="Calibri" w:hAnsi="Calibri" w:eastAsia="PingFang SC"/>
          <w:b/>
          <w:color w:val="0B2545"/>
          <w:sz w:val="21"/>
        </w:rPr>
        <w:t>Listing：</w:t>
      </w:r>
      <w:r>
        <w:rPr>
          <w:rFonts w:ascii="Calibri" w:hAnsi="Calibri" w:eastAsia="PingFang SC"/>
          <w:color w:val="111111"/>
          <w:sz w:val="21"/>
        </w:rPr>
        <w:t>B0D1R1PYGJ</w:t>
      </w:r>
    </w:p>
    <w:p>
      <w:pPr>
        <w:spacing w:after="40"/>
      </w:pPr>
      <w:r>
        <w:rPr>
          <w:rFonts w:ascii="Calibri" w:hAnsi="Calibri" w:eastAsia="PingFang SC"/>
          <w:b/>
          <w:color w:val="0B2545"/>
          <w:sz w:val="21"/>
        </w:rPr>
        <w:t>分析日期：</w:t>
      </w:r>
      <w:r>
        <w:rPr>
          <w:rFonts w:ascii="Calibri" w:hAnsi="Calibri" w:eastAsia="PingFang SC"/>
          <w:color w:val="111111"/>
          <w:sz w:val="21"/>
        </w:rPr>
        <w:t>2026-07-28</w:t>
      </w:r>
    </w:p>
    <w:p>
      <w:pPr>
        <w:spacing w:after="40"/>
      </w:pPr>
      <w:r>
        <w:rPr>
          <w:rFonts w:ascii="Calibri" w:hAnsi="Calibri" w:eastAsia="PingFang SC"/>
          <w:b/>
          <w:color w:val="0B2545"/>
          <w:sz w:val="21"/>
        </w:rPr>
        <w:t>数据范围：</w:t>
      </w:r>
      <w:r>
        <w:rPr>
          <w:rFonts w:ascii="Calibri" w:hAnsi="Calibri" w:eastAsia="PingFang SC"/>
          <w:color w:val="111111"/>
          <w:sz w:val="21"/>
        </w:rPr>
        <w:t>W8K4 文件夹内 6 份 SP 原始报表</w:t>
      </w:r>
    </w:p>
    <w:p>
      <w:pPr>
        <w:spacing w:after="40"/>
      </w:pPr>
      <w:r>
        <w:rPr>
          <w:rFonts w:ascii="Calibri" w:hAnsi="Calibri" w:eastAsia="PingFang SC"/>
          <w:b/>
          <w:color w:val="0B2545"/>
          <w:sz w:val="21"/>
        </w:rPr>
        <w:t>文档状态：</w:t>
      </w:r>
      <w:r>
        <w:rPr>
          <w:rFonts w:ascii="Calibri" w:hAnsi="Calibri" w:eastAsia="PingFang SC"/>
          <w:color w:val="111111"/>
          <w:sz w:val="21"/>
        </w:rPr>
        <w:t>最终复核版</w:t>
      </w:r>
    </w:p>
    <w:p>
      <w:pPr>
        <w:spacing w:before="160" w:after="240"/>
        <w:pBdr>
          <w:bottom w:val="single" w:sz="12" w:space="1" w:color="2E74B5"/>
        </w:pBdr>
      </w:pPr>
    </w:p>
    <w:p>
      <w:pPr>
        <w:pStyle w:val="Heading1"/>
        <w:keepNext/>
      </w:pPr>
      <w:r>
        <w:t>Executive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AF2F8"/>
          <w:left w:val="single" w:sz="1" w:space="0" w:color="EAF2F8"/>
          <w:bottom w:val="single" w:sz="1" w:space="0" w:color="EAF2F8"/>
          <w:right w:val="single" w:sz="1" w:space="0" w:color="EAF2F8"/>
          <w:insideH w:val="single" w:sz="1" w:space="0" w:color="EAF2F8"/>
          <w:insideV w:val="single" w:sz="1" w:space="0" w:color="EAF2F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2F8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 xml:space="preserve">核心结论  </w:t>
            </w:r>
            <w:r>
              <w:rPr>
                <w:rFonts w:ascii="Calibri" w:hAnsi="Calibri" w:eastAsia="PingFang SC"/>
                <w:color w:val="111111"/>
                <w:sz w:val="21"/>
              </w:rPr>
              <w:t>账户累计花费 $1,076.40，带来 74 笔归因购买和 $2,222.09 销售额，整体 ACOS 48.44%。两个高消耗手动广泛活动占 82.78% 花费，仅贡献 52.64% 销售额；自动低价活动以 16.59% 花费贡献 46.01% 销售额。最大的预算黑洞是手动 barefoot 广泛活动及其无法映射到现有定向明细的 $321.79 残差。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7E2EC"/>
          <w:left w:val="single" w:sz="5" w:space="0" w:color="D7E2EC"/>
          <w:bottom w:val="single" w:sz="5" w:space="0" w:color="D7E2EC"/>
          <w:right w:val="single" w:sz="5" w:space="0" w:color="D7E2EC"/>
          <w:insideH w:val="single" w:sz="5" w:space="0" w:color="D7E2EC"/>
          <w:insideV w:val="single" w:sz="5" w:space="0" w:color="D7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  <w:shd w:fill="EAF2F8"/>
          </w:tcPr>
          <w:p>
            <w:pPr>
              <w:spacing w:after="40"/>
              <w:jc w:val="center"/>
            </w:pPr>
            <w:r>
              <w:rPr>
                <w:rFonts w:ascii="Calibri" w:hAnsi="Calibri" w:eastAsia="PingFang SC"/>
                <w:b/>
                <w:color w:val="5D6670"/>
                <w:sz w:val="18"/>
              </w:rPr>
              <w:t>总花费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34"/>
              </w:rPr>
              <w:t>$1,076.40</w:t>
            </w:r>
          </w:p>
        </w:tc>
        <w:tc>
          <w:tcPr>
            <w:tcW w:type="dxa" w:w="2340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  <w:shd w:fill="EAF2F8"/>
          </w:tcPr>
          <w:p>
            <w:pPr>
              <w:spacing w:after="40"/>
              <w:jc w:val="center"/>
            </w:pPr>
            <w:r>
              <w:rPr>
                <w:rFonts w:ascii="Calibri" w:hAnsi="Calibri" w:eastAsia="PingFang SC"/>
                <w:b/>
                <w:color w:val="5D6670"/>
                <w:sz w:val="18"/>
              </w:rPr>
              <w:t>广告销售额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34"/>
              </w:rPr>
              <w:t>$2,222.09</w:t>
            </w:r>
          </w:p>
        </w:tc>
        <w:tc>
          <w:tcPr>
            <w:tcW w:type="dxa" w:w="2340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  <w:shd w:fill="EAF2F8"/>
          </w:tcPr>
          <w:p>
            <w:pPr>
              <w:spacing w:after="40"/>
              <w:jc w:val="center"/>
            </w:pPr>
            <w:r>
              <w:rPr>
                <w:rFonts w:ascii="Calibri" w:hAnsi="Calibri" w:eastAsia="PingFang SC"/>
                <w:b/>
                <w:color w:val="5D6670"/>
                <w:sz w:val="18"/>
              </w:rPr>
              <w:t>归因购买量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34"/>
              </w:rPr>
              <w:t>74</w:t>
            </w:r>
          </w:p>
        </w:tc>
        <w:tc>
          <w:tcPr>
            <w:tcW w:type="dxa" w:w="2340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  <w:shd w:fill="FFF4CC"/>
          </w:tcPr>
          <w:p>
            <w:pPr>
              <w:spacing w:after="40"/>
              <w:jc w:val="center"/>
            </w:pPr>
            <w:r>
              <w:rPr>
                <w:rFonts w:ascii="Calibri" w:hAnsi="Calibri" w:eastAsia="PingFang SC"/>
                <w:b/>
                <w:color w:val="5D6670"/>
                <w:sz w:val="18"/>
              </w:rPr>
              <w:t>整体 ACOS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34"/>
              </w:rPr>
              <w:t>48.44%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4CC"/>
          <w:left w:val="single" w:sz="1" w:space="0" w:color="FFF4CC"/>
          <w:bottom w:val="single" w:sz="1" w:space="0" w:color="FFF4CC"/>
          <w:right w:val="single" w:sz="1" w:space="0" w:color="FFF4CC"/>
          <w:insideH w:val="single" w:sz="1" w:space="0" w:color="FFF4CC"/>
          <w:insideV w:val="single" w:sz="1" w:space="0" w:color="FFF4CC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C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7A5A00"/>
                <w:sz w:val="21"/>
              </w:rPr>
              <w:t xml:space="preserve">决策顺序  </w:t>
            </w:r>
            <w:r>
              <w:rPr>
                <w:rFonts w:ascii="Calibri" w:hAnsi="Calibri" w:eastAsia="PingFang SC"/>
                <w:color w:val="111111"/>
                <w:sz w:val="21"/>
              </w:rPr>
              <w:t>先限险，再补数，再收割，最后放量。当前不应给自动活动加预算；应先限制 barefoot 的未知流量风险，并补齐搜索词、广告位、广告商品、完整定向与变更记录报表。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数据范围与证据等级</w:t>
      </w:r>
    </w:p>
    <w:p>
      <w:pPr>
        <w:spacing w:after="160"/>
      </w:pPr>
      <w:r>
        <w:t>本次分析读取 W8K4 文件夹内全部 6 份 CSV，覆盖活动概览、三类手动定向、自动投放组和达成转化商品。所有金额统一为美元，所有 ACOS、ROAS、CVR、CPA 均重新计算并与报表字段交叉核对。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✅ 已验证：六份报表可直接计算或交叉核对的事实。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⚡ 高概率判断：逻辑上最合理，但仍需其他报表验证。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🔵 补数后判断：当前数据不足，不应直接转成投放动作。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4F6F9"/>
          <w:left w:val="single" w:sz="1" w:space="0" w:color="F4F6F9"/>
          <w:bottom w:val="single" w:sz="1" w:space="0" w:color="F4F6F9"/>
          <w:right w:val="single" w:sz="1" w:space="0" w:color="F4F6F9"/>
          <w:insideH w:val="single" w:sz="1" w:space="0" w:color="F4F6F9"/>
          <w:insideV w:val="single" w:sz="1" w:space="0" w:color="F4F6F9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 xml:space="preserve">数据质量提示  </w:t>
            </w:r>
            <w:r>
              <w:rPr>
                <w:rFonts w:ascii="Calibri" w:hAnsi="Calibri" w:eastAsia="PingFang SC"/>
                <w:color w:val="111111"/>
                <w:sz w:val="21"/>
              </w:rPr>
              <w:t>活动概览与达成转化商品总计均为 74 笔购买、$2,222.09 销售，但有一笔 $29.99 购买在 barefoot 与自动活动之间归属错位。自动和类目定向明细还存在 $1.28、$0.30 的轻微反向差额，最可能来自导出时点、归因回填或快照异步。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账户健康仪表盘</w:t>
      </w:r>
    </w:p>
    <w:p>
      <w:r>
        <w:drawing>
          <wp:inline xmlns:a="http://schemas.openxmlformats.org/drawingml/2006/main" xmlns:pic="http://schemas.openxmlformats.org/drawingml/2006/picture">
            <wp:extent cx="5715000" cy="3071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活动花费与销售额占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各活动花费占比与广告销售额占比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CDD4"/>
          <w:left w:val="single" w:sz="5" w:space="0" w:color="C7CDD4"/>
          <w:bottom w:val="single" w:sz="5" w:space="0" w:color="C7CDD4"/>
          <w:right w:val="single" w:sz="5" w:space="0" w:color="C7CDD4"/>
          <w:insideH w:val="single" w:sz="5" w:space="0" w:color="C7CDD4"/>
          <w:insideV w:val="single" w:sz="5" w:space="0" w:color="C7CDD4"/>
        </w:tblBorders>
      </w:tblPr>
      <w:tblGrid>
        <w:gridCol w:w="3100"/>
        <w:gridCol w:w="1150"/>
        <w:gridCol w:w="900"/>
        <w:gridCol w:w="1450"/>
        <w:gridCol w:w="1250"/>
        <w:gridCol w:w="151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活动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花费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购买量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销售额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ACOS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ROAS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手动 Slip on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$483.99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25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$749.75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64.55%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1.55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手动 barefoot 广泛</w:t>
            </w:r>
          </w:p>
        </w:tc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$407.09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14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$419.86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96.96%</w:t>
            </w:r>
          </w:p>
        </w:tc>
        <w:tc>
          <w:tcPr>
            <w:tcW w:type="dxa" w:w="1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1.03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自动低价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$178.57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34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$1,022.49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17.46%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5.73</w:t>
            </w:r>
          </w:p>
        </w:tc>
      </w:tr>
      <w:t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手动类目低价</w:t>
            </w:r>
          </w:p>
        </w:tc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$6.75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$29.99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22.51%</w:t>
            </w:r>
          </w:p>
        </w:tc>
        <w:tc>
          <w:tcPr>
            <w:tcW w:type="dxa" w:w="1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4.44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合计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$1,076.40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74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$2,222.09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48.44%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2.06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2.1 预算配置与产出方向相反</w:t>
      </w:r>
    </w:p>
    <w:p>
      <w:r>
        <w:rPr>
          <w:rFonts w:ascii="Calibri" w:hAnsi="Calibri" w:eastAsia="PingFang SC"/>
          <w:b/>
          <w:color w:val="0B2545"/>
        </w:rPr>
        <w:t>事实：</w:t>
      </w:r>
      <w:r>
        <w:rPr>
          <w:rFonts w:ascii="Calibri" w:hAnsi="Calibri" w:eastAsia="PingFang SC"/>
        </w:rPr>
        <w:t>两个手动广泛活动合计花费 $891.08，占 82.78%；仅带来 39 笔购买和 $1,169.61 销售，占销售额 52.64%。自动活动花费占 16.59%，销售额占 46.01%。</w:t>
      </w:r>
    </w:p>
    <w:p>
      <w:r>
        <w:rPr>
          <w:rFonts w:ascii="Calibri" w:hAnsi="Calibri" w:eastAsia="PingFang SC"/>
          <w:b/>
          <w:color w:val="0B2545"/>
        </w:rPr>
        <w:t>含义：</w:t>
      </w:r>
      <w:r>
        <w:rPr>
          <w:rFonts w:ascii="Calibri" w:hAnsi="Calibri" w:eastAsia="PingFang SC"/>
        </w:rPr>
        <w:t>账户不是缺预算，而是高成本探索层拿走大部分预算，发现层却以更高转化率承接需求。</w:t>
      </w:r>
    </w:p>
    <w:p>
      <w:r>
        <w:rPr>
          <w:rFonts w:ascii="Calibri" w:hAnsi="Calibri" w:eastAsia="PingFang SC"/>
          <w:b/>
          <w:color w:val="0B2545"/>
        </w:rPr>
        <w:t>动作：</w:t>
      </w:r>
      <w:r>
        <w:rPr>
          <w:rFonts w:ascii="Calibri" w:hAnsi="Calibri" w:eastAsia="PingFang SC"/>
        </w:rPr>
        <w:t>限制低效手动广泛活动继续扩张；自动活动保持预算与竞价，先承担搜索词发现职责。</w:t>
      </w:r>
    </w:p>
    <w:p>
      <w:pPr>
        <w:pStyle w:val="Heading1"/>
        <w:keepNext/>
      </w:pPr>
      <w:r>
        <w:t>3. 预算效率黑洞与数据残差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CDD4"/>
          <w:left w:val="single" w:sz="5" w:space="0" w:color="C7CDD4"/>
          <w:bottom w:val="single" w:sz="5" w:space="0" w:color="C7CDD4"/>
          <w:right w:val="single" w:sz="5" w:space="0" w:color="C7CDD4"/>
          <w:insideH w:val="single" w:sz="5" w:space="0" w:color="C7CDD4"/>
          <w:insideV w:val="single" w:sz="5" w:space="0" w:color="C7CDD4"/>
        </w:tblBorders>
      </w:tblPr>
      <w:tblGrid>
        <w:gridCol w:w="2500"/>
        <w:gridCol w:w="1200"/>
        <w:gridCol w:w="1450"/>
        <w:gridCol w:w="1500"/>
        <w:gridCol w:w="1150"/>
        <w:gridCol w:w="15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活动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活动花费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已导出定向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未解释残差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残差购买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残差 ACOS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手动 Slip 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$483.99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$422.18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$61.81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103.05%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手动 barefoot 广泛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$407.09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$85.30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$321.79</w:t>
            </w:r>
          </w:p>
        </w:tc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9</w:t>
            </w:r>
          </w:p>
        </w:tc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119.22%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自动低价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$178.57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$179.85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-$1.28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快照差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手动类目低价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$6.75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$7.05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-$0.30</w:t>
            </w:r>
          </w:p>
        </w:tc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0</w:t>
            </w:r>
          </w:p>
        </w:tc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快照差</w:t>
            </w:r>
          </w:p>
        </w:tc>
      </w:tr>
    </w:tbl>
    <w:p>
      <w:pPr>
        <w:spacing w:before="4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DECEC"/>
          <w:left w:val="single" w:sz="1" w:space="0" w:color="FDECEC"/>
          <w:bottom w:val="single" w:sz="1" w:space="0" w:color="FDECEC"/>
          <w:right w:val="single" w:sz="1" w:space="0" w:color="FDECEC"/>
          <w:insideH w:val="single" w:sz="1" w:space="0" w:color="FDECEC"/>
          <w:insideV w:val="single" w:sz="1" w:space="0" w:color="FDECEC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DECEC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9B1C1C"/>
                <w:sz w:val="21"/>
              </w:rPr>
              <w:t xml:space="preserve">最大黑洞  </w:t>
            </w:r>
            <w:r>
              <w:rPr>
                <w:rFonts w:ascii="Calibri" w:hAnsi="Calibri" w:eastAsia="PingFang SC"/>
                <w:color w:val="111111"/>
                <w:sz w:val="21"/>
              </w:rPr>
              <w:t>barefoot 已导出的 5 个关键词只解释 $85.30 花费。活动汇总与明细之间仍有 $321.79 花费、260 点击、9 笔购买和 $269.91 销售额，残差 ACOS 为 119.22%。</w:t>
            </w:r>
          </w:p>
        </w:tc>
      </w:tr>
    </w:tbl>
    <w:p>
      <w:pPr>
        <w:spacing w:after="40"/>
      </w:pPr>
    </w:p>
    <w:p>
      <w:r>
        <w:t>关键词报表已经聚合广泛匹配产生的搜索词，因此不能把残差直接说成“列出的关键词匹配到长尾词”。残差更可能来自未导出的关键词、其他定向类型、状态筛选或快照不一致。正确动作是重新导出全部状态、全部定向类型的 Targeting 报表，在补齐前对活动整体限险。</w:t>
      </w:r>
    </w:p>
    <w:p>
      <w:pPr>
        <w:pStyle w:val="Heading1"/>
        <w:keepNext/>
      </w:pPr>
      <w:r>
        <w:t>4. 定向层决策</w:t>
      </w:r>
    </w:p>
    <w:p>
      <w:pPr>
        <w:pStyle w:val="Heading2"/>
        <w:keepNext/>
      </w:pPr>
      <w:r>
        <w:t>4.1 立即限险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CDD4"/>
          <w:left w:val="single" w:sz="5" w:space="0" w:color="C7CDD4"/>
          <w:bottom w:val="single" w:sz="5" w:space="0" w:color="C7CDD4"/>
          <w:right w:val="single" w:sz="5" w:space="0" w:color="C7CDD4"/>
          <w:insideH w:val="single" w:sz="5" w:space="0" w:color="C7CDD4"/>
          <w:insideV w:val="single" w:sz="5" w:space="0" w:color="C7CDD4"/>
        </w:tblBorders>
      </w:tblPr>
      <w:tblGrid>
        <w:gridCol w:w="1600"/>
        <w:gridCol w:w="2800"/>
        <w:gridCol w:w="3100"/>
        <w:gridCol w:w="1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证据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动作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观察窗口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barefoot 活动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ACOS 96.96%；残差 ACOS 119.22%；当前为“提高和降低”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改为“只降低”；日预算 $100 → $25–$30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48 小时看消耗；7 天看购买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wide kids sneakers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20 点击、$25.75、0 购买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竞价 $0.92 → 约 $0.50；再 10 点击无购买则暂停</w:t>
            </w:r>
          </w:p>
        </w:tc>
        <w:tc>
          <w:tcPr>
            <w:tcW w:type="dxa" w:w="1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下一批 10 点击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4.2 保持但不放量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kids natural shoes：13 点击、2 笔购买、ACOS 26.19%。样本仍小，保持当前竞价；等 Search Term 后收割真实成交词。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wide shoes toddler：55 点击、3 笔购买、ACOS 40.24%。保持或小降不超过 10%，先看搜索词。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自动 close-match、loose-match、substitutes：合计 34 笔购买，活动 ACOS 17.46%。保持预算与竞价，避免一次性放大 50%。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类目 3420857011：20 点击、1 笔购买、ACOS 19.77%。至少积累 3 笔购买后再做小步实验。</w:t>
      </w:r>
    </w:p>
    <w:p>
      <w:pPr>
        <w:pStyle w:val="Heading2"/>
        <w:keepNext/>
      </w:pPr>
      <w:r>
        <w:t>4.3 Slip on 两个广泛词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CDD4"/>
          <w:left w:val="single" w:sz="5" w:space="0" w:color="C7CDD4"/>
          <w:bottom w:val="single" w:sz="5" w:space="0" w:color="C7CDD4"/>
          <w:right w:val="single" w:sz="5" w:space="0" w:color="C7CDD4"/>
          <w:insideH w:val="single" w:sz="5" w:space="0" w:color="C7CDD4"/>
          <w:insideV w:val="single" w:sz="5" w:space="0" w:color="C7CDD4"/>
        </w:tblBorders>
      </w:tblPr>
      <w:tblGrid>
        <w:gridCol w:w="2450"/>
        <w:gridCol w:w="650"/>
        <w:gridCol w:w="1050"/>
        <w:gridCol w:w="850"/>
        <w:gridCol w:w="850"/>
        <w:gridCol w:w="900"/>
        <w:gridCol w:w="26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关键词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点击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花费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购买量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CVR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ACOS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当前竞价 / 累计 CPC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boys slip on shoes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207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$207.97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13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6.28%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53.34%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$0.50 / $1.00</w:t>
            </w:r>
          </w:p>
        </w:tc>
      </w:tr>
      <w:tr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kids slip on shoes</w:t>
            </w:r>
          </w:p>
        </w:tc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179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$214.21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10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5.59%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71.43%</w:t>
            </w:r>
          </w:p>
        </w:tc>
        <w:tc>
          <w:tcPr>
            <w:tcW w:type="dxa" w:w="2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$0.50 / $1.20</w:t>
            </w:r>
          </w:p>
        </w:tc>
      </w:tr>
    </w:tbl>
    <w:p>
      <w:pPr>
        <w:spacing w:before="4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4F6F9"/>
          <w:left w:val="single" w:sz="1" w:space="0" w:color="F4F6F9"/>
          <w:bottom w:val="single" w:sz="1" w:space="0" w:color="F4F6F9"/>
          <w:right w:val="single" w:sz="1" w:space="0" w:color="F4F6F9"/>
          <w:insideH w:val="single" w:sz="1" w:space="0" w:color="F4F6F9"/>
          <w:insideV w:val="single" w:sz="1" w:space="0" w:color="F4F6F9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 xml:space="preserve">高概率判断  </w:t>
            </w:r>
            <w:r>
              <w:rPr>
                <w:rFonts w:ascii="Calibri" w:hAnsi="Calibri" w:eastAsia="PingFang SC"/>
                <w:color w:val="111111"/>
                <w:sz w:val="21"/>
              </w:rPr>
              <w:t>活动使用“只降低”且当前 Placement 调整为 0 时，当时有效 CPC 不应高于当时竞价。当前 $0.50 竞价与累计 $1.00–$1.20 CPC 的矛盾最可能来自近期降价或快照时点不一致。应冻结竞价 7 天并查 Campaign Change History。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转化商品与变体池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CDD4"/>
          <w:left w:val="single" w:sz="5" w:space="0" w:color="C7CDD4"/>
          <w:bottom w:val="single" w:sz="5" w:space="0" w:color="C7CDD4"/>
          <w:right w:val="single" w:sz="5" w:space="0" w:color="C7CDD4"/>
          <w:insideH w:val="single" w:sz="5" w:space="0" w:color="C7CDD4"/>
          <w:insideV w:val="single" w:sz="5" w:space="0" w:color="C7CDD4"/>
        </w:tblBorders>
      </w:tblPr>
      <w:tblGrid>
        <w:gridCol w:w="5700"/>
        <w:gridCol w:w="1500"/>
        <w:gridCol w:w="2160"/>
      </w:tblGrid>
      <w:tr>
        <w:trPr>
          <w:tblHeader w:val="true"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购买量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占比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总归因购买量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74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100%</w:t>
            </w:r>
          </w:p>
        </w:tc>
      </w:tr>
      <w:tr>
        <w:tc>
          <w:tcPr>
            <w:tcW w:type="dxa" w:w="5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光环购买量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69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93.24%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同父体 B0CPPS6RJ2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72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97.30%</w:t>
            </w:r>
          </w:p>
        </w:tc>
      </w:tr>
      <w:tr>
        <w:tc>
          <w:tcPr>
            <w:tcW w:type="dxa" w:w="5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跨父体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2.70%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被购买商品为 B0D1R1PYGJ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 w:val="0"/>
                <w:color w:val="111111"/>
                <w:sz w:val="18"/>
              </w:rPr>
              <w:t>1.35%</w:t>
            </w:r>
          </w:p>
        </w:tc>
      </w:tr>
    </w:tbl>
    <w:p>
      <w:pPr>
        <w:spacing w:before="4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AF4E3"/>
          <w:left w:val="single" w:sz="1" w:space="0" w:color="EAF4E3"/>
          <w:bottom w:val="single" w:sz="1" w:space="0" w:color="EAF4E3"/>
          <w:right w:val="single" w:sz="1" w:space="0" w:color="EAF4E3"/>
          <w:insideH w:val="single" w:sz="1" w:space="0" w:color="EAF4E3"/>
          <w:insideV w:val="single" w:sz="1" w:space="0" w:color="EAF4E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4E3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2E6B3D"/>
                <w:sz w:val="21"/>
              </w:rPr>
              <w:t xml:space="preserve">正确解释  </w:t>
            </w:r>
            <w:r>
              <w:rPr>
                <w:rFonts w:ascii="Calibri" w:hAnsi="Calibri" w:eastAsia="PingFang SC"/>
                <w:color w:val="111111"/>
                <w:sz w:val="21"/>
              </w:rPr>
              <w:t>光环购买量是总购买量的子集，表示用户点击某个广告 ASIN 后购买了另一个 ASIN；不是 74+69=143，也不代表一个点击购买了多双鞋。</w:t>
            </w:r>
          </w:p>
        </w:tc>
      </w:tr>
    </w:tbl>
    <w:p>
      <w:pPr>
        <w:spacing w:after="40"/>
      </w:pPr>
    </w:p>
    <w:p>
      <w:r>
        <w:t>97.30% 的归因购买落在同一父体，说明广告对尺码/颜色变体池的销售有明显外溢。但“达成转化的商品”只说明买了什么，不说明广告展示了什么，因此不能据此判断 B0D1R1PYGJ 自身广告转化为零。必须补 Advertised Product 报表，连接广告 ASIN 与被购买 ASIN。</w:t>
      </w:r>
    </w:p>
    <w:p>
      <w:r>
        <w:t>管理上应以父体/变体池评估策略与预算，同时用子体库存、Buy Box、尺码、颜色、退货率和贡献利润做控制；SP 实际投放仍需选择合格子 ASIN。</w:t>
      </w:r>
    </w:p>
    <w:p>
      <w:pPr>
        <w:pStyle w:val="Heading1"/>
        <w:keepNext/>
      </w:pPr>
      <w:r>
        <w:t>6. 产品与 Listing 承接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页面当前售价 $29.99，4.6 星，357 条评价；核心特征是一脚蹬、宽鞋头、零落差、柔软轻量和帆布鞋面。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主定位顺序建议：儿童独立穿脱 → 宽鞋头舒适 → 零落差与灵活鞋底。专业赤足概念作为价值证明，不应盖过家长最直观的购买理由。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尺码偏小是反复出现的购买阻力。应在副图、尺码图、Bullet 与 A+ 中加入脚长测量和选码提示；主图不得加文字。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用柔韧鞋底、宽鞋头、独立穿脱、耐用可清洁和简约帆布外观解释 $29.99，而不是只讲“帆布鞋”。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Search Term 尚未补齐前，不凭活动名称猜测用户搜索意图，也不大幅改写 Listing 关键词。</w:t>
      </w:r>
    </w:p>
    <w:p>
      <w:pPr>
        <w:pStyle w:val="Heading1"/>
        <w:keepNext/>
      </w:pPr>
      <w:r>
        <w:t>7. 分阶段优化计划</w:t>
      </w:r>
    </w:p>
    <w:p>
      <w:pPr>
        <w:pStyle w:val="Heading2"/>
        <w:keepNext/>
      </w:pPr>
      <w:r>
        <w:t>7.1 0–48 小时：止损与补数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barefoot 从“提高和降低”改为“只降低”，临时压预算至 $25–$30/日。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wide kids sneakers 竞价从 $0.92 降至约 $0.50；再累计 10 点击仍无购买则暂停。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导出完整 Search Term、Placement、Advertised Product、Targeting 和 Campaign Change History。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Slip on 两个广泛词冻结竞价；自动活动不加预算、不提价。</w:t>
      </w:r>
    </w:p>
    <w:p>
      <w:pPr>
        <w:pStyle w:val="Heading2"/>
        <w:keepNext/>
      </w:pPr>
      <w:r>
        <w:t>7.2 3–7 天：重建发现—收割—隔离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从 Search Term 报表提取成交词，按 Slip-on、宽鞋头/赤足、成交 ASIN 三类建立候选精准层。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至少 2–3 笔购买且 CPA 低于目标 CPA 的搜索词，进入 Exact 收割候选；1 笔购买但花费很低的词进入低预算验证组。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新建 Exact 收割后，再把同一搜索词以否定精准加入发现活动；没有搜索词证据不提前加否定。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Discovery 活动使用“只降低”；Harvest 活动可从固定或只降低开始。Placement 加价必须由 Placement 报表证明。</w:t>
      </w:r>
    </w:p>
    <w:p>
      <w:pPr>
        <w:pStyle w:val="Heading2"/>
        <w:keepNext/>
      </w:pPr>
      <w:r>
        <w:t>7.3 8–14 天：统一窗口复评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使用调价后同一 7 天窗口，并等待归因回填后再比较。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有订单目标：新竞价 = 当前竞价 × 目标 ACOS ÷ 实际 ACOS；单次变动限制在 ±15%。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无订单目标：累计无单花费达到目标 CPA 时暂停或降价；目标 CPA 必须来自真实贡献利润。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自动活动只有在实际频繁触顶预算、且高效搜索词仍流失时才增加预算；当前不满足。</w:t>
      </w:r>
    </w:p>
    <w:p>
      <w:pPr>
        <w:pStyle w:val="Heading1"/>
        <w:keepNext/>
      </w:pPr>
      <w:r>
        <w:t>8. 盈亏边界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AF2F8"/>
          <w:left w:val="single" w:sz="1" w:space="0" w:color="EAF2F8"/>
          <w:bottom w:val="single" w:sz="1" w:space="0" w:color="EAF2F8"/>
          <w:right w:val="single" w:sz="1" w:space="0" w:color="EAF2F8"/>
          <w:insideH w:val="single" w:sz="1" w:space="0" w:color="EAF2F8"/>
          <w:insideV w:val="single" w:sz="1" w:space="0" w:color="EAF2F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2F8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 xml:space="preserve">公式  </w:t>
            </w:r>
            <w:r>
              <w:rPr>
                <w:rFonts w:ascii="Calibri" w:hAnsi="Calibri" w:eastAsia="PingFang SC"/>
                <w:color w:val="111111"/>
                <w:sz w:val="21"/>
              </w:rPr>
              <w:t>盈亏平衡 ACOS = 广告前贡献利润率；目标 CPA = 每单广告前贡献利润 × 允许用于获客的比例。</w:t>
            </w:r>
          </w:p>
        </w:tc>
      </w:tr>
    </w:tbl>
    <w:p>
      <w:pPr>
        <w:spacing w:after="40"/>
      </w:pPr>
    </w:p>
    <w:p>
      <w:r>
        <w:t>设置目标 ACOS 与目标 CPA 前，至少补齐：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实际成交价、Coupon 与促销折扣；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Amazon 佣金、FBA 配送与仓储；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产品、包装、头程与落地成本；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退货、退款、销毁或移除损耗；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其他按单变动费用。</w:t>
      </w:r>
    </w:p>
    <w:p>
      <w:r>
        <w:t>在利润数据缺失时，只能评价相对效率。barefoot 的 96.96% ACOS 意味着它要求约 97% 的广告前贡献利润率才能盈亏平衡，在正常存在平台费用和商品成本的结构下几乎不可能持续。</w:t>
      </w:r>
    </w:p>
    <w:p>
      <w:pPr>
        <w:pStyle w:val="Heading1"/>
        <w:keepNext/>
      </w:pPr>
      <w:r>
        <w:t>9. 必须补充的数据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CDD4"/>
          <w:left w:val="single" w:sz="5" w:space="0" w:color="C7CDD4"/>
          <w:bottom w:val="single" w:sz="5" w:space="0" w:color="C7CDD4"/>
          <w:right w:val="single" w:sz="5" w:space="0" w:color="C7CDD4"/>
          <w:insideH w:val="single" w:sz="5" w:space="0" w:color="C7CDD4"/>
          <w:insideV w:val="single" w:sz="5" w:space="0" w:color="C7CDD4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缺失数据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将改变的决策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完整 Search Term Report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识别成交词、浪费词、活动间重叠；决定 Exact 与否定词</w:t>
            </w:r>
          </w:p>
        </w:tc>
      </w:tr>
      <w:tr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Placement Report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区分 Top of Search、Rest of Search、Product Pages 的 CPC/CVR；决定广告位调整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Advertised Product Report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确认哪些子 ASIN 实际消耗预算；连接广告 ASIN 与被购买 ASIN</w:t>
            </w:r>
          </w:p>
        </w:tc>
      </w:tr>
      <w:tr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完整 Targeting（全部状态/类型）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解释 barefoot $321.79 与 Slip on $61.81 残差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Campaign Change History + 按日表现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验证当前竞价与累计 CPC 时点差，建立调价后窗口</w:t>
            </w:r>
          </w:p>
        </w:tc>
      </w:tr>
      <w:tr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Budget/Hourly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确认 barefoot 何时耗尽预算及各时段质量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Business Report + Organic Sales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计算 TACOS、自然单变化与广告增量性</w:t>
            </w:r>
          </w:p>
        </w:tc>
      </w:tr>
      <w:tr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子 ASIN 库存/Buy Box/退货率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防止高效流量落到断货或尺码问题严重的变体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子体贡献利润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PingFang SC"/>
                <w:b w:val="0"/>
                <w:color w:val="111111"/>
                <w:sz w:val="17"/>
              </w:rPr>
              <w:t>设置目标 ACOS、目标 CPA 和无单止损阈值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10. DeepSeek 多轮交叉复核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第一轮独立审计：重算账户与活动指标，识别两个手动广泛活动和 barefoot 残差。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第二轮反向质询：纠正光环占比、竞价/CPC、残差来源和跨活动归因四项错误；DeepSeek 接受 69/74=93.24%、残差 ACOS 119.22% 和一笔 $29.99 归因错位。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PingFang SC"/>
          <w:sz w:val="22"/>
        </w:rPr>
        <w:t>第三轮文档教练：采用“事实 → 含义 → 动作 → 观察窗口”的写法，将已验证、高概率与补数后判断分开。</w:t>
      </w:r>
    </w:p>
    <w:p>
      <w:r>
        <w:t>DeepSeek 第一轮还提出品牌防御、竞品 ASIN、固定竞价和具体 ACOS 阈值，但当前六份报表没有充分证据，本报告未直接采纳。第二轮曾越界推断 B0D1R1PYGJ 自身广告转化为零，最终报告也未采纳。</w:t>
      </w:r>
    </w:p>
    <w:p>
      <w:pPr>
        <w:pStyle w:val="Heading1"/>
        <w:keepNext/>
      </w:pPr>
      <w:r>
        <w:t>11. 最终判断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AF2F8"/>
          <w:left w:val="single" w:sz="1" w:space="0" w:color="EAF2F8"/>
          <w:bottom w:val="single" w:sz="1" w:space="0" w:color="EAF2F8"/>
          <w:right w:val="single" w:sz="1" w:space="0" w:color="EAF2F8"/>
          <w:insideH w:val="single" w:sz="1" w:space="0" w:color="EAF2F8"/>
          <w:insideV w:val="single" w:sz="1" w:space="0" w:color="EAF2F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2F8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 xml:space="preserve">最终判断  </w:t>
            </w:r>
            <w:r>
              <w:rPr>
                <w:rFonts w:ascii="Calibri" w:hAnsi="Calibri" w:eastAsia="PingFang SC"/>
                <w:color w:val="111111"/>
                <w:sz w:val="21"/>
              </w:rPr>
              <w:t>W8K4 的问题不是单一关键词出价过高，而是预算层、架构层和数据层同时存在硬伤：高消耗手动广泛活动拿走 82.78% 花费；缺少完整的“自动发现 → 精准收割 → 发现层否定隔离”闭环；手动定向明细严重不完整，竞价快照与累计 CPC 还不在同一时点。</w:t>
            </w:r>
          </w:p>
        </w:tc>
      </w:tr>
    </w:tbl>
    <w:p>
      <w:pPr>
        <w:spacing w:after="40"/>
      </w:pPr>
    </w:p>
    <w:p>
      <w:pPr>
        <w:spacing w:before="160" w:after="200"/>
        <w:jc w:val="center"/>
      </w:pPr>
      <w:r>
        <w:rPr>
          <w:rFonts w:ascii="Calibri" w:hAnsi="Calibri" w:eastAsia="PingFang SC"/>
          <w:b/>
          <w:color w:val="0B2545"/>
          <w:sz w:val="28"/>
        </w:rPr>
        <w:t>正确顺序：先限险 → 再补数 → 再收割 → 最后放量</w:t>
      </w:r>
    </w:p>
    <w:p>
      <w:pPr>
        <w:pStyle w:val="Heading2"/>
        <w:keepNext/>
      </w:pPr>
      <w:r>
        <w:t>来源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/Users/panjinlong/Library/Application Support/ziniaobrowserdatas/ziniao browser/欧德思美站/W8K4/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Amazon Listing：https://www.amazon.com/dp/B0D1R1PYGJ?th=1&amp;psc=1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本地复算：outputs/W8K4广告诊断-2026-07-28/analyze_w8k4.py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PingFang SC"/>
          <w:sz w:val="22"/>
        </w:rPr>
        <w:t>DeepSeek 复核：OpenCode 会话 ses_05885232dffe8cko5PjD19SxrE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5D667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PingFang SC"/>
        <w:color w:val="5D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D6670"/>
        <w:sz w:val="18"/>
      </w:rPr>
      <w:t>W8K4 SP 广告诊断</w:t>
    </w:r>
    <w:r>
      <w:rPr>
        <w:rFonts w:ascii="Calibri" w:hAnsi="Calibri" w:eastAsia="PingFang SC"/>
        <w:color w:val="5D6670"/>
        <w:sz w:val="18"/>
      </w:rPr>
      <w:t xml:space="preserve">    |    Amazon 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PingFang S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PingFang SC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  <w:jc w:val="center"/>
    </w:pPr>
    <w:rPr>
      <w:rFonts w:ascii="Calibri" w:hAnsi="Calibri" w:eastAsia="PingFang SC"/>
      <w:b/>
      <w:bCs/>
      <w:i/>
      <w:color w:val="5D66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W8K4 SP 广告诊断与优化方案</dc:title>
  <dc:subject>Amazon US Sponsored Products 广告数据分析</dc:subject>
  <dc:creator>Codex</dc:creator>
  <cp:keywords>Amazon Ads, Sponsored Products, W8K4, BRONAX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