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亚马逊广告投放深度分析报告</w:t>
      </w:r>
    </w:p>
    <w:p>
      <w:pPr>
        <w:jc w:val="center"/>
      </w:pPr>
      <w:r>
        <w:rPr>
          <w:color w:val="555555"/>
          <w:sz w:val="24"/>
        </w:rPr>
        <w:t>DSP（需求方平台展示型广告） × SA（站内搜索 / 赞助广告）协同与效率诊断</w:t>
      </w:r>
    </w:p>
    <w:p>
      <w:pPr>
        <w:jc w:val="center"/>
      </w:pPr>
      <w:r>
        <w:rPr>
          <w:i/>
          <w:color w:val="555555"/>
          <w:sz w:val="19"/>
        </w:rPr>
        <w:t>品牌：WHITIN ｜ 数据来源：Amazon Marketing Cloud（AMC）探索报表 + DSP 广告活动导出（2026-09-01）</w:t>
      </w:r>
    </w:p>
    <w:p/>
    <w:p>
      <w:pPr>
        <w:pStyle w:val="Heading1"/>
      </w:pPr>
      <w:r>
        <w:rPr>
          <w:color w:val="1F3A5F"/>
        </w:rPr>
        <w:t>一、核心结论摘要（Executive Summary）</w:t>
      </w:r>
    </w:p>
    <w:p>
      <w:pPr>
        <w:pStyle w:val="ListBullet"/>
      </w:pPr>
      <w:r>
        <w:rPr>
          <w:b/>
        </w:rPr>
        <w:t>投放大盘：</w:t>
      </w:r>
      <w:r>
        <w:t xml:space="preserve"> 当前在投 DSP 广告活动 9 个（暂停 2 个），合计花费约 $2,588，带来销售额 $29,299，即时 ROAS 11.3、长期 ROAS 14.6；新客（NTB）销售额占比高达 46%，说明 DSP 拉新与品牌溢出效果显著。</w:t>
      </w:r>
    </w:p>
    <w:p>
      <w:pPr>
        <w:pStyle w:val="ListBullet"/>
      </w:pPr>
      <w:r>
        <w:rPr>
          <w:b/>
        </w:rPr>
        <w:t>流量结构：</w:t>
      </w:r>
      <w:r>
        <w:t xml:space="preserve"> 全渠道营销漏斗共 278 万意识用户、2.7 万考虑用户、419 转化用户、222 忠诚用户。DSP 触达用户最少（31.6 万，占 11.4%），却贡献 229 个转化（占全渠道 54.7%）与 126 个忠诚用户（占 56.8%）——是事实上“转化与复购”的主力引擎。</w:t>
      </w:r>
    </w:p>
    <w:p>
      <w:pPr>
        <w:pStyle w:val="ListBullet"/>
      </w:pPr>
      <w:r>
        <w:rPr>
          <w:b/>
        </w:rPr>
        <w:t>DSP 是转化枢纽：</w:t>
      </w:r>
      <w:r>
        <w:t xml:space="preserve"> 路径归因显示 77.7%% 的转化路径以 DSP 为首触点；马尔可夫（移除效应）归因中 DSP 权重 0.774，远高于 SP 0.160、SD 0.059、SB 0.007。DSP 并非“锦上添花”，而是转化链路的枢纽。</w:t>
      </w:r>
    </w:p>
    <w:p>
      <w:pPr>
        <w:pStyle w:val="ListBullet"/>
      </w:pPr>
      <w:r>
        <w:rPr>
          <w:b/>
        </w:rPr>
        <w:t>最大优化点（频次）：</w:t>
      </w:r>
      <w:r>
        <w:t xml:space="preserve"> 54%% 的 DSP 用户仅被曝光 1 次（单触购买率 0.029%%，CPA $6.08），而曝光 3–7 次的区间 CPA 仅 $2.1–2.5、购买率提升 10–30 倍。提升有效频次是性价比最高的优化点。</w:t>
      </w:r>
    </w:p>
    <w:p>
      <w:pPr>
        <w:pStyle w:val="ListBullet"/>
      </w:pPr>
      <w:r>
        <w:rPr>
          <w:b/>
        </w:rPr>
        <w:t>SP 效率失衡：</w:t>
      </w:r>
      <w:r>
        <w:t xml:space="preserve"> SP（Sponsored Products）占据最大曝光（214 万意识用户，占 76.9%%），但“考虑到转化”率仅 0.65%%、路径 ROAS 仅 0.48，是效率最低的渠道——它在本账户更像“流量池/防守”，而非直接收割。</w:t>
      </w:r>
    </w:p>
    <w:p>
      <w:pPr>
        <w:pStyle w:val="ListBullet"/>
      </w:pPr>
      <w:r>
        <w:rPr>
          <w:b/>
        </w:rPr>
        <w:t>考核口径：</w:t>
      </w:r>
      <w:r>
        <w:t xml:space="preserve"> 长期 ROAS（14.6）显著高于即时 ROAS（11.3），证明 DSP 转化存在滞后与站外品牌溢出，不应仅以 7/14 天窗口考核。</w:t>
      </w:r>
    </w:p>
    <w:p/>
    <w:p>
      <w:pPr>
        <w:pStyle w:val="Heading1"/>
      </w:pPr>
      <w:r>
        <w:rPr>
          <w:color w:val="1F3A5F"/>
        </w:rPr>
        <w:t>二、核心概念：DSP 与 SA 是什么、差在哪</w:t>
      </w:r>
    </w:p>
    <w:p>
      <w:r>
        <w:rPr>
          <w:b w:val="0"/>
          <w:i w:val="0"/>
          <w:sz w:val="21"/>
        </w:rPr>
        <w:t>在开始解读数据前，先厘清两类广告的本质差异。它们并非“同一平台上的两种出价方式”，而是回答两个完全不同商业问题的工具：</w:t>
      </w:r>
    </w:p>
    <w:p>
      <w:pPr>
        <w:pStyle w:val="Heading2"/>
      </w:pPr>
      <w:r>
        <w:rPr>
          <w:color w:val="E47911"/>
        </w:rPr>
        <w:t>2.1 一句话区分</w:t>
      </w:r>
    </w:p>
    <w:p>
      <w:pPr>
        <w:pStyle w:val="ListBullet"/>
      </w:pPr>
      <w:r>
        <w:rPr>
          <w:b/>
        </w:rPr>
        <w:t>Amazon DSP（需求方平台）：</w:t>
      </w:r>
      <w:r>
        <w:t>DSP = 程序化展示/视频广告平台，按受众（行为、兴趣、再营销、相似人群）在 Amazon 站内及站外（Prime Video、Fire TV、Twitch、第三方网站/App）买曝光，计价以 CPM 为主，目标是“创造需求 + 再营销”。</w:t>
      </w:r>
    </w:p>
    <w:p>
      <w:pPr>
        <w:pStyle w:val="ListBullet"/>
      </w:pPr>
      <w:r>
        <w:rPr>
          <w:b/>
        </w:rPr>
        <w:t>Sponsored Ads（SA，站内搜索广告）：</w:t>
      </w:r>
      <w:r>
        <w:t>SA = 站内赞助广告，含 Sponsored Products（商品推广）、Sponsored Brands（品牌推广）、Sponsored Display（展示型定向），按关键词/ASIN/品类/情境定向，计价以 CPC 为主，目标是“收割已经存在的搜索需求”。</w:t>
      </w:r>
    </w:p>
    <w:p>
      <w:pPr>
        <w:pStyle w:val="Heading2"/>
      </w:pPr>
      <w:r>
        <w:rPr>
          <w:color w:val="E47911"/>
        </w:rPr>
        <w:t>2.2 关键差异对照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Amazon DSP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Sponsored Ads（SP/SB/SD）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核心目标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创造需求、再营销、全漏斗品牌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收割已有搜索意图、直接转化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定向逻辑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受众（行为/兴趣/再营销/相似人群）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关键词 / ASIN / 品类 / 情境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主要计价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CPM（千次曝光成本）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CPC（点击成本，SD 也可按 vCPM）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曝光位置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Amazon 站内 + 站外（流媒体/第三方）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主要在 Amazon 站内（搜索页/详情页）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归因方式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点击 + 曝光（view-through）双归因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以点击归因为主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核心指标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触达/频次/DPV/新客率/品牌搜索提升→ROAS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ACoS / ROAS / 搜索词层级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适合阶段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拓新、防守竞品、复购、品牌资产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上新排名、守搜索词、高意图收割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可观测性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可在 AMC 中做多触点归因/增量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报表自成体系，跨渠道需借助 AMC</w:t>
            </w:r>
          </w:p>
        </w:tc>
      </w:tr>
    </w:tbl>
    <w:p>
      <w:r>
        <w:rPr>
          <w:b w:val="0"/>
          <w:i/>
          <w:color w:val="555555"/>
          <w:sz w:val="19"/>
        </w:rPr>
        <w:t>⚠ 常见误区：Sponsored Display（SD）不是“DSP 轻量版”。二者都买展示库存，但 SD 是自助式赞助格式（简单定向、CPC/vCPM 计费、归入 PPC 报表），DSP 才是真正的人群构建 + 频次控制 + 流媒体 + AMC 度量平台。本报告的“SA”泛指 SP+SB+SD 站内赞助广告。</w:t>
      </w:r>
    </w:p>
    <w:p/>
    <w:p>
      <w:pPr>
        <w:pStyle w:val="Heading1"/>
      </w:pPr>
      <w:r>
        <w:rPr>
          <w:color w:val="1F3A5F"/>
        </w:rPr>
        <w:t>三、数据口径与样本说明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文件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内容口径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关键字段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AMC 漏斗分析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按广告类型(SB/SP/SD/DSP)的 4 层漏斗与转化率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意识/考虑/转化/忠诚用户数及阶段转化率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AMC 站内外承接路径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标准路径到转化（按广告类型）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路径发生次数、购买、购买份额、ROAS、马尔可夫预算分配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AMC 自定义触点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自定义路径标签（获客P+/考虑层转化P+等）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自定义路径转化与 ROAS、初始状态分布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AMC 曝光频次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触达与频次（广告类型 × F1–F10+）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曝光量、用户、购买率、NTB、CPA、eCPM、成本占比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AMC 分时情况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按频次的预算探索（含推荐分时）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各频次桶花费、ROAS、CPM、购买转化率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Campaign_Sep_1_2026.csv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DSP 广告活动级导出（11 个活动，9 在投）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展示/点击/成本/销售额/ROAS/新客/品牌搜索/长期ROAS</w:t>
            </w:r>
          </w:p>
        </w:tc>
      </w:tr>
    </w:tbl>
    <w:p>
      <w:r>
        <w:rPr>
          <w:b w:val="0"/>
          <w:i/>
          <w:color w:val="555555"/>
          <w:sz w:val="19"/>
        </w:rPr>
        <w:t>说明：AMC 报表为亚马逊官方营销云的多触点归因口径（用户可在多渠道重复计入，故各渠道“意识用户”之和 &gt; 全渠道合计）；Campaign CSV 为 DSP 侧广告活动级实时导出。SA 侧（SP/SB/SD）仅能从 AMC 聚合口径观察，缺少独立成本明细，下文对“预算占比”的结论带有该局限。</w:t>
      </w:r>
    </w:p>
    <w:p/>
    <w:p>
      <w:pPr>
        <w:pStyle w:val="Heading1"/>
      </w:pPr>
      <w:r>
        <w:rPr>
          <w:color w:val="1F3A5F"/>
        </w:rPr>
        <w:t>四、整体流量结构与漏斗分析</w:t>
      </w:r>
    </w:p>
    <w:p>
      <w:r>
        <w:drawing>
          <wp:inline xmlns:a="http://schemas.openxmlformats.org/drawingml/2006/main" xmlns:pic="http://schemas.openxmlformats.org/drawingml/2006/picture">
            <wp:extent cx="5760720" cy="3226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296"/>
          </w:tcPr>
          <w:p>
            <w:r/>
            <w:r>
              <w:rPr>
                <w:b/>
                <w:sz w:val="19"/>
              </w:rPr>
              <w:t>广告类型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意识用户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考虑用户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转化用户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9"/>
              </w:rPr>
              <w:t>忠诚用户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意识到考虑率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9"/>
              </w:rPr>
              <w:t>考虑到转化率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品牌忠诚率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9"/>
              </w:rPr>
              <w:t>SB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117,433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622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0.53%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5.95%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45.9%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9"/>
              </w:rPr>
              <w:t>SP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2,140,056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16,540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107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46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0.77%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0.65%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43.0%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9"/>
              </w:rPr>
              <w:t>SD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637,838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6,874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46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1.08%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0.67%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71.7%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9"/>
              </w:rPr>
              <w:t>DSP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316,224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3,567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229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126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1.13%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6.42%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55.0%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  <w:sz w:val="19"/>
              </w:rPr>
              <w:t>全部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2,782,410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27,044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419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222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0.97%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1.55%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53.0%</w:t>
            </w:r>
          </w:p>
        </w:tc>
      </w:tr>
    </w:tbl>
    <w:p>
      <w:r>
        <w:rPr>
          <w:b/>
          <w:i w:val="0"/>
          <w:sz w:val="21"/>
        </w:rPr>
        <w:t>解读：</w:t>
      </w:r>
    </w:p>
    <w:p>
      <w:pPr>
        <w:pStyle w:val="ListBullet"/>
      </w:pPr>
      <w:r>
        <w:t>SP 是“流量入口”：意识用户 214 万（占全渠道 76.9%），但“考虑到转化”率仅 0.65%、忠诚率 43%，是典型的“广撒网、低转化”渠道——它把海量高意图搜索者拉进漏斗，却很少自己收口。</w:t>
      </w:r>
    </w:p>
    <w:p>
      <w:pPr>
        <w:pStyle w:val="ListBullet"/>
      </w:pPr>
      <w:r>
        <w:t>DSP 是“转化与复购引擎”：意识用户最少（31.6 万，占 11.4%），却拿到 229 个转化（占全渠道 54.7%）和 126 个忠诚用户（占 56.8%）；“考虑到转化”率 6.42% 为全渠道最高，是 SP 的近 10 倍。</w:t>
      </w:r>
    </w:p>
    <w:p>
      <w:pPr>
        <w:pStyle w:val="ListBullet"/>
      </w:pPr>
      <w:r>
        <w:t>SD 忠诚率最高（71.7%）：展示型再营销在“已考虑人群→复购”上效果突出，但绝对量级小。</w:t>
      </w:r>
    </w:p>
    <w:p>
      <w:pPr>
        <w:pStyle w:val="ListBullet"/>
      </w:pPr>
      <w:r>
        <w:t>SB 体量最小、效率中等：适合品牌故事与旗舰店联动，当前更像补充角色。</w:t>
      </w:r>
    </w:p>
    <w:p/>
    <w:p>
      <w:pPr>
        <w:pStyle w:val="Heading1"/>
      </w:pPr>
      <w:r>
        <w:rPr>
          <w:color w:val="1F3A5F"/>
        </w:rPr>
        <w:t>五、曝光与点击表现（DSP 活动级）</w:t>
      </w:r>
    </w:p>
    <w:p>
      <w:r>
        <w:rPr>
          <w:b w:val="0"/>
          <w:i w:val="0"/>
          <w:sz w:val="21"/>
        </w:rPr>
        <w:t>基于 9 个在投 DSP 活动汇总：展示量 1,256,582、点击量 10,536、混合 CTR 0.84%、CPC $0.25、CPM $2.06；合计触达（reach）字段在导出中为 0，建议后续补全触达/频次去重口径。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广告活动（简称）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9"/>
              </w:rPr>
              <w:t>展示量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9"/>
              </w:rPr>
              <w:t>点击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9"/>
              </w:rPr>
              <w:t>成本$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9"/>
              </w:rPr>
              <w:t>销售额$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9"/>
              </w:rPr>
              <w:t>ROAS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长期ROAS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9"/>
              </w:rPr>
              <w:t>CPC$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品牌搜索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9"/>
              </w:rPr>
              <w:t>NTB销售占比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Clogs - AW - All Audiences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263,594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2439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309.0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4,897.0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15.8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20.2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0.13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209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64%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Toddler - CS - SIM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20,129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201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55.0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784.0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14.2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16.3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0.27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44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37%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Toddler - CS - Remarketing P+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269,296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1006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718.0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9,407.0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13.1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15.3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0.71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675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40%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Toddler - CS - CMP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127,116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1529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260.0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2,748.0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10.6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15.2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0.17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145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44%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Clogs - CS - Customer Acquisition P+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96,660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828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194.0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2,049.0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10.5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15.9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0.23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65%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Toddler - CS - Customer Acquisition P+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353,789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3607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717.0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7,155.0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12.6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0.20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408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Clogs - CS - SIM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23,893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194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55.0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497.0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9.1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14.3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0.28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66%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Clogs - CS - Remarketing P+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84,596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563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226.0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1,608.0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7.1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10.5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0.40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72%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Clogs - CS - CMP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17,509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169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54.0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155.0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2.9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6.7</w:t>
            </w:r>
          </w:p>
        </w:tc>
        <w:tc>
          <w:tcPr>
            <w:tcW w:type="dxa" w:w="792"/>
          </w:tcPr>
          <w:p>
            <w:r/>
            <w:r>
              <w:rPr>
                <w:sz w:val="19"/>
              </w:rPr>
              <w:t>0.32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24"/>
          </w:tcPr>
          <w:p>
            <w:r/>
            <w:r>
              <w:rPr>
                <w:sz w:val="19"/>
              </w:rPr>
              <w:t>61%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312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s_campa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解读：</w:t>
      </w:r>
    </w:p>
    <w:p>
      <w:pPr>
        <w:pStyle w:val="ListBullet"/>
      </w:pPr>
      <w:r>
        <w:t>高效活动：Toddler Remarketing P+（ROAS 13.1、品牌搜索 675）、All Audiences（ROAS 15.8、长期 ROAS 20.2、品牌搜索 209）、Toddler Cust Acq P+（ROAS 10.0、品牌搜索 408）表现突出，且明显带动品牌搜索量（halo 效应）。</w:t>
      </w:r>
    </w:p>
    <w:p>
      <w:pPr>
        <w:pStyle w:val="ListBullet"/>
      </w:pPr>
      <w:r>
        <w:t>低效/高风险活动：Clogs CS CMP（ROAS 2.9，最低）、Remarketing P+ 的 CPC 高达 $0.40（其余多在 $0.13–0.28）；Clogs AW Mules and Clogs CPDPV（ROAS 1.9）已暂停。建议把低效活动的受众/创意向高效模板迁移。</w:t>
      </w:r>
    </w:p>
    <w:p>
      <w:pPr>
        <w:pStyle w:val="ListBullet"/>
      </w:pPr>
      <w:r>
        <w:t>2 个活动处于暂停且零花费：需确认是测试遗留还是策略性暂停，避免账户结构臃肿。</w:t>
      </w:r>
    </w:p>
    <w:p/>
    <w:p>
      <w:pPr>
        <w:pStyle w:val="Heading1"/>
      </w:pPr>
      <w:r>
        <w:rPr>
          <w:color w:val="1F3A5F"/>
        </w:rPr>
        <w:t>六、转化效率：频次、路径与 ROAS</w:t>
      </w:r>
    </w:p>
    <w:p>
      <w:pPr>
        <w:pStyle w:val="Heading2"/>
      </w:pPr>
      <w:r>
        <w:rPr>
          <w:color w:val="E47911"/>
        </w:rPr>
        <w:t>6.1 曝光频次 × 购买率（DSP）</w:t>
      </w:r>
    </w:p>
    <w:p>
      <w:r>
        <w:drawing>
          <wp:inline xmlns:a="http://schemas.openxmlformats.org/drawingml/2006/main" xmlns:pic="http://schemas.openxmlformats.org/drawingml/2006/picture">
            <wp:extent cx="5760720" cy="32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频次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用户占比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购买量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单频购买率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CPA$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成本占比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F1（仅 1 次）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54.1%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0.029%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6.08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18.1%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25.4%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0.135%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3.10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20.0%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5.6%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0.314%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2.36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7.9%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4.5%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0.526%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1.95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8.7%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F5–F7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4.7%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0.50–0.90%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2.1–2.6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9.0%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F8–F10+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4.7%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121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0.66–0.88%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3.7–4.3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25.3%</w:t>
            </w:r>
          </w:p>
        </w:tc>
      </w:tr>
    </w:tbl>
    <w:p>
      <w:r>
        <w:rPr>
          <w:b w:val="0"/>
          <w:i w:val="0"/>
          <w:sz w:val="21"/>
        </w:rPr>
        <w:t>解读：单触（F1）用户占了一半以上，却只贡献极低购买率且 CPA 最高（$6.08）；购买率随频次陡增，在 F3–F7 区间达到最优性价比（CPA $2.1–2.5、购买率提升 10–30 倍）。当前预算大量“浪费”在只触达一次的用户上，是首要优化杠杆。</w:t>
      </w:r>
    </w:p>
    <w:p>
      <w:pPr>
        <w:pStyle w:val="Heading2"/>
      </w:pPr>
      <w:r>
        <w:rPr>
          <w:color w:val="E47911"/>
        </w:rPr>
        <w:t>6.2 路径到转化 ROAS（站内外承接）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</w:tcPr>
          <w:p>
            <w:r/>
            <w:r>
              <w:rPr>
                <w:b/>
                <w:sz w:val="19"/>
              </w:rPr>
              <w:t>转化路径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路径发生次数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购买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购买份额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路径ROAS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[DSP] 首触 DSP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308,054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275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77.7%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6.40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[SP] 首触 SP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3,018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13.6%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0.48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[SD] 首触 SD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2,683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4.0%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99.57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[SP→DSP]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5,616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1.1%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[DSP→SD]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2.0%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79.78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[DSP→SB]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0.9%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7.12</w:t>
            </w:r>
          </w:p>
        </w:tc>
      </w:tr>
    </w:tbl>
    <w:p>
      <w:r>
        <w:rPr>
          <w:b w:val="0"/>
          <w:i w:val="0"/>
          <w:sz w:val="21"/>
        </w:rPr>
        <w:t>解读：以 DSP 为首触的路径贡献了 77.7% 的购买量；SD 首触 ROAS 高达 99.6（量级小但重定向极强）；SP 首触 ROAS 仅 0.48，单独收割能力弱。多触点路径（SP→DSP、DSP→SB）印证“SA 引流 + DSP 收口/再营销”的协同形态。</w:t>
      </w:r>
    </w:p>
    <w:p/>
    <w:p>
      <w:pPr>
        <w:pStyle w:val="Heading1"/>
      </w:pPr>
      <w:r>
        <w:rPr>
          <w:color w:val="1F3A5F"/>
        </w:rPr>
        <w:t>七、预算消耗与归因分配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o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21"/>
        </w:rPr>
        <w:t>马尔可夫（移除效应）归因：若移除某触点后转化大幅下降，说明该触点对转化贡献最大。结果 DSP 0.774 &gt; SP 0.160 &gt; SD 0.059 &gt; SB 0.007——DSP 是当之无愧的转化枢纽，SP 次之（守住搜索收口），SB 贡献极小。</w:t>
      </w:r>
    </w:p>
    <w:p>
      <w:r>
        <w:rPr>
          <w:b w:val="0"/>
          <w:i w:val="0"/>
          <w:sz w:val="21"/>
        </w:rPr>
        <w:t>自定义触点模型的“初始状态分布”显示约 87.8% 的路径流量首触落在 SA_SP，考虑层转化P+/获客P+ 各约 4.3%——即绝大多数用户先经由 SP 进入，再由 DSP/自定义 P+ 路径完成转化，进一步印证“SP 引流、DSP 转化”的分工。</w:t>
      </w:r>
    </w:p>
    <w:p>
      <w:r>
        <w:rPr>
          <w:b w:val="0"/>
          <w:i w:val="0"/>
          <w:sz w:val="21"/>
        </w:rPr>
        <w:t>当前预算现状（DSP 侧）：9 个在投活动单日预算多为 $10/活动，合计日预算约 $90、本期花费约 $2,588。由于缺少 SA 侧独立成本，无法精确计算 DSP:SA 实际预算比；但结合归因权重，若 DSP 实际预算占比明显低于其 0.774 的移除效应权重，则存在“预算错配”，应上调 DSP 占比、压缩 SB。</w:t>
      </w:r>
    </w:p>
    <w:p/>
    <w:p>
      <w:pPr>
        <w:pStyle w:val="Heading1"/>
      </w:pPr>
      <w:r>
        <w:rPr>
          <w:color w:val="1F3A5F"/>
        </w:rPr>
        <w:t>八、DSP 与 SA 的协同与差异</w:t>
      </w:r>
    </w:p>
    <w:p>
      <w:pPr>
        <w:pStyle w:val="ListBullet"/>
      </w:pPr>
      <w:r>
        <w:rPr>
          <w:b/>
        </w:rPr>
        <w:t>分工：</w:t>
      </w:r>
      <w:r>
        <w:t>本质分工：SA（尤其 SP）是“需求收割机”，坐在搜索框里抢高意图流量；DSP 是“需求制造机 + 再营销机”，在站内站外按人群种草并把离开详情页的人拉回来。本账户两者不是替代关系，而是上下游关系。</w:t>
      </w:r>
    </w:p>
    <w:p>
      <w:pPr>
        <w:pStyle w:val="ListBullet"/>
      </w:pPr>
      <w:r>
        <w:rPr>
          <w:b/>
        </w:rPr>
        <w:t>互补：</w:t>
      </w:r>
      <w:r>
        <w:t>数据印证：SP 贡献 76.9% 的意识用户（流量原料），DSP 贡献 54.7% 的转化与 56.8% 的忠诚用户（收口与复购）；路径中 [SP→DSP] 与 [DSP→SP] 并存，说明二者在用户旅程中交替出现。</w:t>
      </w:r>
    </w:p>
    <w:p>
      <w:pPr>
        <w:pStyle w:val="ListBullet"/>
      </w:pPr>
      <w:r>
        <w:rPr>
          <w:b/>
        </w:rPr>
        <w:t>溢出：</w:t>
      </w:r>
      <w:r>
        <w:t>品牌溢出：DSP 活动显著拉动品牌搜索量（合计 1,590 次；Toddler 系列占 1,100+），而品牌搜索量正是“种草→日后主动搜品牌词”的滞后信号，无法在 DSP 直接转化里体现，却在 SP 效率上兑现。</w:t>
      </w:r>
    </w:p>
    <w:p>
      <w:pPr>
        <w:pStyle w:val="ListBullet"/>
      </w:pPr>
      <w:r>
        <w:rPr>
          <w:b/>
        </w:rPr>
        <w:t>考核：</w:t>
      </w:r>
      <w:r>
        <w:t>差异结论：用同一把 ROAS 尺子量两类广告会误判——DSP 应考核长期 ROAS + 新客率 + 品牌搜索提升；SP 应考核“防守词占比/ACoS 红线”而非绝对 ROAS。</w:t>
      </w:r>
    </w:p>
    <w:p/>
    <w:p>
      <w:pPr>
        <w:pStyle w:val="Heading1"/>
      </w:pPr>
      <w:r>
        <w:rPr>
          <w:color w:val="1F3A5F"/>
        </w:rPr>
        <w:t>九、问题诊断与优化空间</w:t>
      </w:r>
    </w:p>
    <w:p>
      <w:pPr>
        <w:pStyle w:val="ListNumber"/>
      </w:pPr>
      <w:r>
        <w:rPr>
          <w:b/>
        </w:rPr>
        <w:t>1. 提升 DSP 有效频次（最高优先级）：</w:t>
      </w:r>
      <w:r>
        <w:t>54% 用户仅曝光 1 次、CPA $6.08。将目标频次抬到 3–6，用频次上限/频次优化与再营销受众叠加，把单触预算转移到 F3–F7 区间，预计同等花费可显著降低 CPA、提升购买量。</w:t>
      </w:r>
    </w:p>
    <w:p>
      <w:pPr>
        <w:pStyle w:val="ListNumber"/>
      </w:pPr>
      <w:r>
        <w:rPr>
          <w:b/>
        </w:rPr>
        <w:t>2. 重估 SP 预算与结构：</w:t>
      </w:r>
      <w:r>
        <w:t>SP 曝光最大但转化效率最低（考虑到转化 0.65%、路径 ROAS 0.48）。建议：① 用搜索词报告做负向隔离，把纯防守/泛词预算释放；② 对高意图词用更激进出价、对低效词降预算或否词；③ 不按统一 ROAS 考核 SP，改看“防守份额 + ACoS 红线”。</w:t>
      </w:r>
    </w:p>
    <w:p>
      <w:pPr>
        <w:pStyle w:val="ListNumber"/>
      </w:pPr>
      <w:r>
        <w:rPr>
          <w:b/>
        </w:rPr>
        <w:t>3. 校准预算分配至归因权重：</w:t>
      </w:r>
      <w:r>
        <w:t>马尔可夫显示 DSP 移除效应 0.774。若 DSP 实际预算占比偏低，应上调 DSP、压缩 SB（移除效应仅 0.7%）。需先补全 SA 侧成本数据以测算真实 DSP:SA 比。</w:t>
      </w:r>
    </w:p>
    <w:p>
      <w:pPr>
        <w:pStyle w:val="ListNumber"/>
      </w:pPr>
      <w:r>
        <w:rPr>
          <w:b/>
        </w:rPr>
        <w:t>4. 复制高效活动模板、清理低效活动：</w:t>
      </w:r>
      <w:r>
        <w:t>把 Clogs CS CMP（ROAS 2.9）、Remarketing P+（CPC $0.40）向 All Audiences / Toddler Remarketing（ROAS 13–16）的受众与创意靠拢；暂停且零花费的 2 个活动确认后清理，减少结构噪声。</w:t>
      </w:r>
    </w:p>
    <w:p>
      <w:pPr>
        <w:pStyle w:val="ListNumber"/>
      </w:pPr>
      <w:r>
        <w:rPr>
          <w:b/>
        </w:rPr>
        <w:t>5. 放大 SB 品牌价值：</w:t>
      </w:r>
      <w:r>
        <w:t>SB 体量最小但忠诚率尚可，建议结合品牌旗舰店/视频创意强化“考虑层”种草，提升其在漏斗考虑阶段的贡献。</w:t>
      </w:r>
    </w:p>
    <w:p>
      <w:pPr>
        <w:pStyle w:val="ListNumber"/>
      </w:pPr>
      <w:r>
        <w:rPr>
          <w:b/>
        </w:rPr>
        <w:t>6. 用长期口径考核 DSP：</w:t>
      </w:r>
      <w:r>
        <w:t>长期 ROAS 14.6 &gt; 即时 11.3。把 DSP 核心 KPI 设为“长期 ROAS + NTB 新客率 + 品牌搜索量提升”，避免因短期窗口低估其价值而错砍预算。</w:t>
      </w:r>
    </w:p>
    <w:p>
      <w:pPr>
        <w:pStyle w:val="ListNumber"/>
      </w:pPr>
      <w:r>
        <w:rPr>
          <w:b/>
        </w:rPr>
        <w:t>7. 数据补齐：</w:t>
      </w:r>
      <w:r>
        <w:t>当前缺 SA 侧独立成本与 DSP reach 去重口径。补全后可做真正的 DSP:SA 预算配比与增量（incrementality）分析，把本报告结论从“归因”推向“因果”。</w:t>
      </w:r>
    </w:p>
    <w:p/>
    <w:p>
      <w:pPr>
        <w:pStyle w:val="Heading1"/>
      </w:pPr>
      <w:r>
        <w:rPr>
          <w:color w:val="1F3A5F"/>
        </w:rPr>
        <w:t>附录：关键指标汇总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数值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在投 / 暂停 DSP 活动数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9 / 2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DSP 合计展示量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1,256,582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DSP 合计点击量 / CTR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10,536 / 0.84%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DSP 合计成本 / 销售额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$2,588 / $29,299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DSP 即时 ROAS / 长期 ROAS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11.3 / 14.6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DSP NTB 新客销售额占比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46%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全渠道转化用户 / 忠诚用户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419 / 222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DSP 占全渠道转化 / 忠诚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54.7% / 56.8%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首触 DSP 路径购买份额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77.7%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马尔可夫移除效应 DSP/SP/SD/SB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0.774 / 0.160 / 0.059 / 0.007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DSP 最优频次区间（CPA 最低）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F3–F7（CPA $2.1–2.5）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