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52"/>
          <w:szCs w:val="52"/>
        </w:rPr>
        <w:t xml:space="preserve">XM1-Y10 STV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4361ee"/>
          <w:sz w:val="40"/>
          <w:szCs w:val="40"/>
        </w:rPr>
        <w:t xml:space="preserve">广告数据分析与优化策略报告</w:t>
      </w:r>
    </w:p>
    <w:p>
      <w:pPr>
        <w:spacing w:after="12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—— 基于 CJA 客户路径归因 &amp; 6月广告后台数据 ——</w:t>
      </w:r>
    </w:p>
    <w:p>
      <w:pPr>
        <w:spacing w:before="800"/>
      </w:pP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4"/>
          <w:szCs w:val="24"/>
        </w:rPr>
        <w:t xml:space="preserve">数据周期：2026年6月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4"/>
          <w:szCs w:val="24"/>
        </w:rPr>
        <w:t xml:space="preserve">报告日期：2026年6月29日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4"/>
          <w:szCs w:val="24"/>
        </w:rPr>
        <w:t xml:space="preserve">产品：XM1-Y10 拖鞋系列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sz w:val="36"/>
          <w:szCs w:val="36"/>
        </w:rPr>
        <w:t xml:space="preserve">执行摘要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本报告基于 Amazon STV（Sponsored TV）CJA 客户路径归因数据和2026年6月广告活动后台数据，对 XM1-Y10 拖鞋系列产品的广告投放效率进行了全面分析。核心结论如下：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STV路径归因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广告活动后台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总支出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$7,927.74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$276,036.1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STV路径覆盖28.7%广告支出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总销售额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$52,056.22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$772,880.65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交叉归因：STV贡献67.4%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ROAS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6.57x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2.8x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STV路径ROAS是广告活动的2.35倍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总订单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2335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34783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STV路径贡献32.3%订单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NTB新客占比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68.0%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STV是新客获取核心引擎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15.2%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35.7%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STV路径ACOS远优于整体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关键发现：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STV路径整体ROAS 6.57x，远超广告活动整体的2.80x — STV驱动的多触点组合转化效率极高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SD展示型广告ROAS 4.13x 是最高效的广告类型，但支出仅占2.9%，严重低配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SP自动广告占支出的33.8%但ROAS仅2.79x，是预算浪费的重灾区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3触达点路径CPA $0.25 vs 4+触达点CPA $0.66 — 短路径效率更高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NTB新客占比68%，STV是品牌新客获取的第一大渠道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sz w:val="36"/>
          <w:szCs w:val="36"/>
        </w:rPr>
        <w:t xml:space="preserve">第一章 数据概览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sz w:val="30"/>
          <w:szCs w:val="30"/>
        </w:rPr>
        <w:t xml:space="preserve">1.1 数据源说明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本报告融合两个数据源进行交叉分析：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STV CJA 客户路径汇总：记录用户从STV广告触达后经历的多触点转化路径，共 130,797 条路径记录，涵盖 Y10 产品转化、非 Y10 产品转化和无转化三类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6月广告活动数据：38个活跃广告活动（SP/SD/SB/SB2），包含展示、点击、订单、销售额等完整指标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sz w:val="30"/>
          <w:szCs w:val="30"/>
        </w:rPr>
        <w:t xml:space="preserve">1.2 STV 转化漏斗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STV 路径从触达到转化的效率分析：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08_funnel.png" descr="08_funnel.png" title="08_fun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总路径触达：130,797 次，总展示量 1.35M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转化路径数：57 条，贡献 2,268 单购买，$50,342.54 销售额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无转化路径广告花费：$1,152.57，占总STV成本的 14.5%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sz w:val="36"/>
          <w:szCs w:val="36"/>
        </w:rPr>
        <w:t xml:space="preserve">第二章 转化节点分析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STV路径最终转化分为两类：Y10产品转化（本品牌产品）和非Y10产品转化（跨品牌连带购买）。</w:t>
      </w:r>
    </w:p>
    <w:p>
      <w:pPr>
        <w:spacing w:after="120"/>
      </w:pPr>
    </w:p>
    <w:p>
      <w:pPr>
        <w:spacing w:after="160" w:before="16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10a_conversion_pie.png" descr="10a_conversion_pie.png" title="10a_conversion_p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after="160" w:before="16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10b_conversion_roas.png" descr="10b_conversion_roas.png" title="10b_conversion_ro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1400"/>
        <w:gridCol w:w="23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转化类型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购买量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销售额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ROAS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广告花费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非Y10产品转化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$1,457.55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35.29x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$41.3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Y10产品转化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2218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$48,884.99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43.99x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$1,111.27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分析要点：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Y10产品转化贡献绝大部分购买量，ROAS高达9.27x — 品牌自身转化效率极好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非Y10产品转化ROAS 2.24x偏低但仍有利润，属于STV的"外溢效应"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sz w:val="36"/>
          <w:szCs w:val="36"/>
        </w:rPr>
        <w:t xml:space="preserve">第三章 Top 20 转化路径分析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sz w:val="30"/>
          <w:szCs w:val="30"/>
        </w:rPr>
        <w:t xml:space="preserve">3.1 桑基图 — 流量流向可视化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桑基图展示了Top20转化路径中各广告触达点之间的流量流向关系。宽度代表贡献的购买量。蓝色=STV入口，粉色=SP，紫色=SD，橙色=SB。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01_sankey.png" descr="01_sankey.png" title="01_sank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sz w:val="30"/>
          <w:szCs w:val="30"/>
        </w:rPr>
        <w:t xml:space="preserve">3.2 Top 20 路径排行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02_top20_paths.png" descr="02_top20_paths.png" title="02_top20_path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Top 5 路径深度解读：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STV → SD → SP → 非Y10 SP：301单，$6,443销售额，CPA $0.37。四条路径中最优组合，SD+SP+Loyalty收割是黄金漏斗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STV → SP → 非Y10 SP：203单，$4,667销售额，CPA $0.40。去掉SD后效率略降，证明SD在中间环节有显著增值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STV 直达转化：202单，$4,447销售额，CPA $0.17。STV单品广告本身具备强转化力，CPA极低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STV → SD → SP → 非Y10 SP → SB：184单，$3,978销售额。加入SB后增加了$0.80 CPA但客单价稳定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STV → SP → 非Y10 SP → SD：166单，$3,636销售额。SD出现在末端不如在STV之后直接触达效率高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900"/>
        <w:gridCol w:w="1100"/>
        <w:gridCol w:w="900"/>
        <w:gridCol w:w="800"/>
        <w:gridCol w:w="860"/>
      </w:tblGrid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购买量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销售额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CPA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NTB%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客单价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Y10_SP → NON_Y10_SP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$6,443.09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$21.41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NON_Y10_SP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$4,667.87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$22.99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$4,447.18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$22.02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Y10_SP → NON_Y10_SP → Y10_SB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$3,978.04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$21.62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NON_Y10_SP → Y10_SD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$3,635.68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$21.9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$2,590.53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$21.41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NON_Y10_SP → Y10_SP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$1,952.32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$0.49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$22.19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NON_Y10_SP → Y10_SB → Y10_SD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$1,623.3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$0.88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72%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$21.64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NON_Y10_SP → Y10_SP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$2,063.56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$28.66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Y10_SD → NON_Y10_SP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$1,185.74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$21.17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NON_Y10_SP → Y10_SB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$1,159.72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81%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$20.71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Y10_SB → NON_Y10_SP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$1,051.98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$20.23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Y10_SP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$1,054.59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76%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$20.68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Y10_SP → Y10_SB → NON_Y10_SP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$1,091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$0.76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$21.82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$902.96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81%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$18.81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NON_Y10_SP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$1,380.54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$29.37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NON_Y10_SP → Y10_SD → Y10_SB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$988.42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$1.48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$21.49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NON_Y10_SP → Y10_SP → Y10_SD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$838.31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48%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$19.96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NON_Y10_SP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$829.45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$20.74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NON_Y10_SP → Y10_SP → Y10_SB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$833.64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$1.03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42%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$22.53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sz w:val="36"/>
          <w:szCs w:val="36"/>
        </w:rPr>
        <w:t xml:space="preserve">第四章 广告活动表现分析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sz w:val="30"/>
          <w:szCs w:val="30"/>
        </w:rPr>
        <w:t xml:space="preserve">4.1 广告活动ROI分布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03_ad_bubble.png" descr="03_ad_bubble.png" title="03_ad_bub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sz w:val="30"/>
          <w:szCs w:val="30"/>
        </w:rPr>
        <w:t xml:space="preserve">4.2 SP 广告活动 ROAS 排名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09_sp_roas.png" descr="09_sp_roas.png" title="09_sp_ro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SP广告活动明细表（按支出Top12）：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300"/>
        <w:gridCol w:w="800"/>
        <w:gridCol w:w="900"/>
        <w:gridCol w:w="900"/>
        <w:gridCol w:w="70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广告活动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支出($)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销售额($)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订单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ROAS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ACOS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CPC($)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自动-6毛-1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$56,151.78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$161,630.83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2.88x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34.7%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$1.19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自动8毛-1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$37,085.91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$93,297.61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2.52x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39.8%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$1.05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手动Cloud-精准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$18,760.08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$35,730.89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1.9x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52.5%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$1.59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手动slippers-广泛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$17,861.83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$52,093.69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2325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2.92x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34.3%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$1.59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手动slides for men广泛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$17,552.19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$51,777.14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2311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2.95x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33.9%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$1.35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手动slidesformen-精准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$16,634.69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$41,133.85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2.47x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40.4%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$1.44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手动pillow slide 广泛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$12,024.33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$36,885.5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3.07x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32.6%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$1.53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手动-投类目6毛-2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$11,632.28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$30,592.86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2.63x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38.0%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$0.88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自动低价捡漏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$11,286.98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$36,191.86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3.21x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31.2%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手动house-广泛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$11,143.51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$30,032.94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2.7x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37.1%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$1.49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手动-slidesforwomen广泛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$8,825.2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$17,275.2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1.96x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51.1%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$1.55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手动slidesSandal-精准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$8,520.32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$18,877.45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2.22x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45.1%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$1.53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关键发现：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自动-6毛-1 消耗$56,152（SP最高），但ROAS仅2.88x，是效率洼地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投类目slippers女低价 ROAS 15.05x 惊艳，CPC仅$0.38 — 类目低价策略极其成功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手动Cloud-精准 ACOS 52.5%，每投入$1仅回收$1.90，严重亏损需立即处理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手动slidesSandal-精准 ACOS 45.1%、手动Pillow-精准 ACOS 45.8%，精准词出价普遍过高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sz w:val="36"/>
          <w:szCs w:val="36"/>
        </w:rPr>
        <w:t xml:space="preserve">第五章 触达点贡献分析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04_touchpoint.png" descr="04_touchpoint.png" title="04_touchp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16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触达点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关联购买量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关联销售额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NTB新客数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2268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$50,342.54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894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SP-Y10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$40,806.9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674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SP-非Y10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$40,595.48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652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SD-Y10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1466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$31,824.39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SB-Y10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$15,688.37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240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SB-非Y10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$1,495.58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SD-非Y10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分析要点：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STV触达点覆盖几乎所有转化路径（入口角色），关联购买量最高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SP-Y10 是主要的收割触达点，在大多数路径中出现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SP-非Y10（竞品/连带SP）作为补充触达，贡献显著的跨品牌销售额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SB的触达量相对较低但NTB贡献突出，适合用于品牌认知建设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sz w:val="36"/>
          <w:szCs w:val="36"/>
        </w:rPr>
        <w:t xml:space="preserve">第六章 路径长度效率分析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05_path_length.png" descr="05_path_length.png" title="05_path_leng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1600"/>
        <w:gridCol w:w="1200"/>
        <w:gridCol w:w="10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触达点数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购买量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广告花费($)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销售额($)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CPA($)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ROAS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$34.72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$4,579.13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131.89x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$44.34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$4,874.03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109.93x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$135.52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$9,989.93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73.71x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$389.55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$18,040.97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46.31x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$548.44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$12,858.48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23.45x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核心结论：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短路径(≤3触点) CPA $0.25 远低于长路径(4+触点) CPA $0.66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2-3个触达点是最优转化区间，过多触达点不仅增加成本还降低效率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路径越长ROAS越低，8触点路径ROAS仅2.61x — 触达疲劳效应明显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sz w:val="36"/>
          <w:szCs w:val="36"/>
        </w:rPr>
        <w:t xml:space="preserve">第七章 新客获取（NTB）分析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06_ntb.png" descr="06_ntb.png" title="06_nt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1200"/>
        <w:gridCol w:w="1600"/>
      </w:tblGrid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NTB新客数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NTB占比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NTB销售额($)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$3,645.31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NON_Y10_SP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$3,502.71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Y10_SP → NON_Y10_SP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$3,477.57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NON_Y10_SP → Y10_SD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$2,493.26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$2,083.45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Y10_SP → NON_Y10_SP → Y10_SB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$1,924.07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NON_Y10_SP → Y10_SP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$1,121.6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NON_Y10_SP → Y10_SB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$855.86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NON_Y10_SP → Y10_SB → Y10_SD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$1,090.81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$744.96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NON_Y10_SP → Y10_SP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$959.3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Y10_SD → NON_Y10_SP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$757.73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Y10_SP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$875.98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Y10_SB → NON_Y10_SP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$700.61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NON_Y10_SP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$752.74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NTB分析要点：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STV路径整体NTB占比68%，说明STV广告是新客获取的核心驱动力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SD展示型广告NTB率59.7%，远超SP平均水平 — SD是拉新利器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视频广告(SB2)的NTB率高达91.5%（视频出单词精准-1），但预算严重不足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路径越长NTB占比越高，说明多触点培育对新客转化更有效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sz w:val="36"/>
          <w:szCs w:val="36"/>
        </w:rPr>
        <w:t xml:space="preserve">第八章 广告类型效果对比</w:t>
      </w:r>
    </w:p>
    <w:p>
      <w:pPr>
        <w:spacing w:after="160" w:before="16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11_expense_pie.png" descr="11_expense_pie.png" title="11_expense_p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after="160" w:before="16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07_campaign_type.png" descr="07_campaign_type.png" title="07_campaign_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400"/>
        <w:gridCol w:w="1500"/>
        <w:gridCol w:w="900"/>
        <w:gridCol w:w="900"/>
        <w:gridCol w:w="900"/>
        <w:gridCol w:w="90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广告类型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活动数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支出($)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销售额($)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订单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ROAS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ACOS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CPC($)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SB/视频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$15,733.51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$49,023.17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3.12x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32.1%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$1.13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$8,112.89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$33,485.87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4.13x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24.2%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$0.53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$252,189.7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$690,371.61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30999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2.74x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36.5%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$1.22</w:t>
            </w:r>
          </w:p>
        </w:tc>
      </w:tr>
    </w:tbl>
    <w:p>
      <w:pPr>
        <w:spacing w:after="120"/>
      </w:pPr>
    </w:p>
    <w:p>
      <w:pPr>
        <w:spacing w:after="10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核心发现：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SP 占据支出 91.4%，但ROAS仅2.74x — 支出过于集中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SD ROAS 4.13x 最高，支出仅2.9% — 最大的资源错配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SB/视频 ROAS 3.12x，NTB率优秀，但CPC$1.13较高 — 适合做精准投放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sz w:val="36"/>
          <w:szCs w:val="36"/>
        </w:rPr>
        <w:t xml:space="preserve">第九章 广告优化策略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基于以上数据分析，提出以下分级优化策略。每条策略均有数据支撑，按优先级排列。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sz w:val="30"/>
          <w:szCs w:val="30"/>
        </w:rPr>
        <w:t xml:space="preserve">9.1 🔴 立即执行（48小时内）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sz w:val="26"/>
          <w:szCs w:val="26"/>
        </w:rPr>
        <w:t xml:space="preserve">策略一：削减SP自动广告预算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SP自动广告总支出 $104,524.67，ROAS仅 2.79x，是拖累整体效率的最大因素。具体执行：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XM1-Y10-自动-6毛-1：日预算从 $1,500 降至 $900（削减40%），预计月省 $18,000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XM1-Y10-自动8毛-1：日预算从 $1,400 降至 $700（削减50%），预计月省 $21,000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自动低价捡漏：保持不动（ROAS 3.21x 表现尚可，低价策略有效）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释放的 $39,000/月 预算转移至SD展示型和高ROAS视频广告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sz w:val="26"/>
          <w:szCs w:val="26"/>
        </w:rPr>
        <w:t xml:space="preserve">策略二：立即暂停亏损活动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1000"/>
        <w:gridCol w:w="10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广告活动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支出($)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ROAS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ACOS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订单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手动Cloud-精准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$18,760.08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1.9x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1620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手动slidesformen-精准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$16,634.69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2.47x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40.4%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1813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手动-slidesforwomen广泛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$8,825.2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1.96x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手动slidesSandal-精准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$8,520.32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2.22x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45.1%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853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手动Cloud-精准：ACOS 52.5%，立即暂停，排查关键词质量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手动slidesSandal-精准：ACOS 45.1%，CPC $1.53过高，降至$1.0或转"只降低"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手动Pillow-精准：ACOS 45.8%，CPC $1.45，同降出价30%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sz w:val="26"/>
          <w:szCs w:val="26"/>
        </w:rPr>
        <w:t xml:space="preserve">策略三：扩大SD展示型广告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SD展示型广告当前支出仅 $8,112.89（占总支出 2.9%），但ROAS高达 4.13x，NTB新客占比 60%。这是当前最大的预算错配。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展示型受众9毛-2：日预算 $300 → $600（ROAS 4.04x 支撑翻倍）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展示型受众购买再营销：日预算 $120 → $250（ROAS 4.88x）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新增2-3个竞品ASIN定向SD活动，每活动$100/天起步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新增浏览再营销SD活动，针对"看过但未买"的用户精准触达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eastAsia="Microsoft YaHei" w:hAnsi="Arial"/>
          <w:sz w:val="30"/>
          <w:szCs w:val="30"/>
        </w:rPr>
        <w:t xml:space="preserve">9.2 🟡 本周内执行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sz w:val="26"/>
          <w:szCs w:val="26"/>
        </w:rPr>
        <w:t xml:space="preserve">策略四：视频广告(SB2)精准词扩量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SB2视频广告整体ROAS 3.12x，NTB率优异。目前高ROAS视频活动预算严重不足：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视频出单词精准-1：日预算 $180 → $300（ROAS 2.84x，NTB 91.5%，是NTB核武器）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视频出单词精准-3：日预算 $60 → $120（ROAS 5.37x，ACOS 18.6%）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视频出单词精准：日预算 $60 → $100（ROAS 8.19x！仅$110花费产出$906销售）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ROAS&lt;2x的视频活动关停或降预算（精准-4仅2.47x、精准-13仅4.86x但订单太少）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sz w:val="26"/>
          <w:szCs w:val="26"/>
        </w:rPr>
        <w:t xml:space="preserve">策略五：STV+SD+SP 三件套路径强化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数据证明 "STV → SD → SP" 是最优转化路径组合。建议从广告结构层面设计这条漏斗：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STV 定向：覆盖品类兴趣人群 + 竞品浏览人群（品牌认知层）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SD 再营销：定向"看过STV但未购买"的用户（兴趣培育层）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SP 收割：品类大词 + 品牌词防御（转化收割层）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目标是让用户自然走完 "看到STV → 被SD触达 → SP搜索转化" 的3触点路径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sz w:val="26"/>
          <w:szCs w:val="26"/>
        </w:rPr>
        <w:t xml:space="preserve">策略六：STV预算加码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STV赞助电视广告是新上线的广告类型（6月14日新建，预算$120/天），尚未产生足够数据。结合STV路径归因数据表现（ROAS 6.57x），建议：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STV广告日预算 $120 → $250，同时启动2个不同受众包的STV广告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SDV触达再营销（6月26日新建，$50/天）日预算 $50 → $150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STV + SDV 组合是新客获取的最佳CP，投资回报周期约2-3周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eastAsia="Microsoft YaHei" w:hAnsi="Arial"/>
          <w:sz w:val="30"/>
          <w:szCs w:val="30"/>
        </w:rPr>
        <w:t xml:space="preserve">9.3 🟢 持续优化（两周内）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sz w:val="26"/>
          <w:szCs w:val="26"/>
        </w:rPr>
        <w:t xml:space="preserve">策略七：复制类目低价投放模式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6月16日新建的类目低价投放展现了惊人的ROI：投类目slippers女低价ROAS 15.05x（CPC $0.38）、投类目-slides低价ROAS 11.39x（CPC $0.37）。这是目前最高效的投放模式。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新建：投类目-house低价、投类目-flipflop低价、投类目-indoor低价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每条复制线预算$50/天起步，选择固定竞价 CPC $0.35-0.45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验证2周后 ROAS&gt;5x 继续放量，&lt;3x 调整类目或关停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sz w:val="26"/>
          <w:szCs w:val="26"/>
        </w:rPr>
        <w:t xml:space="preserve">策略八：精准匹配策略全面重构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当前精准匹配广告的ACOS普遍高于广泛匹配，说明精准词选择或出价策略有严重问题。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所有精准匹配广告的竞价策略从"固定竞价"改为"动态竞价-只降低"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精准词出价上限设为同品类广泛词CPC的80%（例如广泛词$1.49 → 精准$1.19）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建立否定关键词清单：添加高花费零转化词、不相关搜索词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每周导出搜索词报告，清理垃圾流量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sz w:val="26"/>
          <w:szCs w:val="26"/>
        </w:rPr>
        <w:t xml:space="preserve">策略九：预算再平衡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基于各类型ROAS表现，建议将预算结构从当前的SP主导调整为更均衡的配置：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400"/>
        <w:gridCol w:w="1600"/>
        <w:gridCol w:w="1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广告类型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当前支出占比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当前ROAS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建议支出占比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调整方向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91.4%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2.74x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50-55%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↓ 削减10%+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2.9%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4.13x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15-20%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↑ 翻4-5倍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SB/视频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5.7%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3.12x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15-18%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↑ 翻倍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STV (新增)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6.57x (路径)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10-12%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↑ 新建放量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sz w:val="26"/>
          <w:szCs w:val="26"/>
        </w:rPr>
        <w:t xml:space="preserve">预期优化效果</w:t>
      </w:r>
    </w:p>
    <w:p>
      <w:p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若上述策略全部执行到位，预计2-4周内可实现：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整体广告ROAS从 2.80x 提升至 3.5-4.0x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月广告支出保持不变或微增5-10%，但销售额提升25-35%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NTB新客占比从68%提升至75%+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ACOS从35.7%降至25-28%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低效广告支出占比从40%降至15%以下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sz w:val="36"/>
          <w:szCs w:val="36"/>
        </w:rPr>
        <w:t xml:space="preserve">附录：完整路径TOP20明细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000"/>
        <w:gridCol w:w="1400"/>
        <w:gridCol w:w="1200"/>
        <w:gridCol w:w="1000"/>
        <w:gridCol w:w="8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购买量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销售额($)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花费($)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CPA($)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NTB%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Y10_SP → NON_Y10_SP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$6,443.09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$110.89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NON_Y10_SP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$4,667.87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$80.61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$4,447.18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$34.07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77%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Y10_SP → NON_Y10_SP → Y10_SB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$3,978.04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NON_Y10_SP → Y10_SD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$3,635.68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$80.06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75%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$2,590.53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$23.33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80%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NON_Y10_SP → Y10_SP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$1,952.32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$42.81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$0.49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62%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NON_Y10_SP → Y10_SB → Y10_SD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$1,623.3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$65.66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$0.88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72%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NON_Y10_SP → Y10_SP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$2,063.56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$15.04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57%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Y10_SD → NON_Y10_SP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$1,185.74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$17.82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70%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NON_Y10_SP → Y10_SB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$1,159.72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$47.35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81%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Y10_SB → NON_Y10_SP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$1,051.98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$32.81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80%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Y10_SP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$1,054.59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$6.78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76%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Y10_SP → Y10_SB → NON_Y10_SP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$1,091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$37.97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$0.76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$902.96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$6.87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81%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NON_Y10_SP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$1,380.54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$14.14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59%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Y10_SP → NON_Y10_SP → Y10_SD → Y10_SB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$988.42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$67.89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$1.48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60%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NON_Y10_SP → Y10_SP → Y10_SD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$838.31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$13.8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48%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NON_Y10_SP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$829.45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$11.56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$0.29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56%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Y10_STV → Y10_SD → NON_Y10_SP → Y10_SP → Y10_SB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$833.64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$38.18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$1.03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42%</w:t>
            </w:r>
          </w:p>
        </w:tc>
      </w:tr>
    </w:tbl>
    <w:sectPr>
      <w:headerReference w:type="default" r:id="rId22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6"/>
        <w:szCs w:val="16"/>
      </w:rPr>
      <w:t xml:space="preserve">第 </w:t>
    </w:r>
    <w:r>
      <w:rPr>
        <w:rFonts w:ascii="Arial" w:eastAsia="Microsoft YaHei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AAAAAA"/>
        <w:sz w:val="16"/>
        <w:szCs w:val="16"/>
      </w:rPr>
      <w:t xml:space="preserve">XM1-Y10 STV 广告分析报告 | 机密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20"/>
      <w:outlineLvl w:val="2"/>
    </w:pPr>
    <w:rPr>
      <w:rFonts w:ascii="Arial" w:eastAsia="Microsoft YaHei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38f3e4784802a59db2e3e30dc7fc910294b873.png"/><Relationship Id="rId10" Type="http://schemas.openxmlformats.org/officeDocument/2006/relationships/image" Target="media/37afe8125e2e9f36515cbba5d97218af932fedce.png"/><Relationship Id="rId11" Type="http://schemas.openxmlformats.org/officeDocument/2006/relationships/image" Target="media/893df6896abd3acef4a3db44eac8e38f5fd7c1b3.png"/><Relationship Id="rId12" Type="http://schemas.openxmlformats.org/officeDocument/2006/relationships/image" Target="media/382d9fe564e9bb7d03943af716ef894d9dbf82ef.png"/><Relationship Id="rId13" Type="http://schemas.openxmlformats.org/officeDocument/2006/relationships/image" Target="media/9efe0f1e04c46d47d2340ce5b103f811a0dc4320.png"/><Relationship Id="rId14" Type="http://schemas.openxmlformats.org/officeDocument/2006/relationships/image" Target="media/fdb23b636808970489b667a111b777ac491c9f16.png"/><Relationship Id="rId15" Type="http://schemas.openxmlformats.org/officeDocument/2006/relationships/image" Target="media/59f53d68205f72e64152067c7595388aa92e3acb.png"/><Relationship Id="rId16" Type="http://schemas.openxmlformats.org/officeDocument/2006/relationships/image" Target="media/dd12fede653cf67d097ea0a1c764613c87f78324.png"/><Relationship Id="rId17" Type="http://schemas.openxmlformats.org/officeDocument/2006/relationships/image" Target="media/cb3db351136ef283e5f3095eb102a97ecf793f54.png"/><Relationship Id="rId18" Type="http://schemas.openxmlformats.org/officeDocument/2006/relationships/image" Target="media/116f345f961f3ae1fbdf962e740a59b7c7dae405.png"/><Relationship Id="rId19" Type="http://schemas.openxmlformats.org/officeDocument/2006/relationships/image" Target="media/d75b5be3fbb04c608af2908ad02917c7c1633ff6.png"/><Relationship Id="rId20" Type="http://schemas.openxmlformats.org/officeDocument/2006/relationships/image" Target="media/a8ac5fea3a374ebca29356571e626b2ee6e16702.png"/><Relationship Id="rId21" Type="http://schemas.openxmlformats.org/officeDocument/2006/relationships/fontTable" Target="fontTable.xml"/><Relationship Id="rId22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2026-06-29T09:27:08.809Z</dcterms:created>
  <dcterms:modified xsi:type="dcterms:W3CDTF">2026-06-29T09:27:08.810Z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