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PingFang SC" w:hAnsi="PingFang SC" w:eastAsia="PingFang SC" w:cs="PingFang SC"/>
          <w:sz w:val="32"/>
        </w:rPr>
        <w:t>PingFang SC：中文字体测试｜广告诊断与优化方案</w:t>
      </w:r>
    </w:p>
    <w:p>
      <w:r>
        <w:rPr>
          <w:rFonts w:ascii="Hiragino Sans GB" w:hAnsi="Hiragino Sans GB" w:eastAsia="Hiragino Sans GB" w:cs="Hiragino Sans GB"/>
          <w:sz w:val="32"/>
        </w:rPr>
        <w:t>Hiragino Sans GB：中文字体测试｜广告诊断与优化方案</w:t>
      </w:r>
    </w:p>
    <w:p>
      <w:r>
        <w:rPr>
          <w:rFonts w:ascii="STHeiti" w:hAnsi="STHeiti" w:eastAsia="STHeiti" w:cs="STHeiti"/>
          <w:sz w:val="32"/>
        </w:rPr>
        <w:t>STHeiti：中文字体测试｜广告诊断与优化方案</w:t>
      </w:r>
    </w:p>
    <w:p>
      <w:r>
        <w:rPr>
          <w:rFonts w:ascii="Heiti SC" w:hAnsi="Heiti SC" w:eastAsia="Heiti SC" w:cs="Heiti SC"/>
          <w:sz w:val="32"/>
        </w:rPr>
        <w:t>Heiti SC：中文字体测试｜广告诊断与优化方案</w:t>
      </w:r>
    </w:p>
    <w:p>
      <w:r>
        <w:rPr>
          <w:rFonts w:ascii="Songti SC" w:hAnsi="Songti SC" w:eastAsia="Songti SC" w:cs="Songti SC"/>
          <w:sz w:val="32"/>
        </w:rPr>
        <w:t>Songti SC：中文字体测试｜广告诊断与优化方案</w:t>
      </w:r>
    </w:p>
    <w:p>
      <w:r>
        <w:rPr>
          <w:rFonts w:ascii="Microsoft YaHei" w:hAnsi="Microsoft YaHei" w:eastAsia="Microsoft YaHei" w:cs="Microsoft YaHei"/>
          <w:sz w:val="32"/>
        </w:rPr>
        <w:t>Microsoft YaHei：中文字体测试｜广告诊断与优化方案</w:t>
      </w:r>
    </w:p>
    <w:p>
      <w:r>
        <w:rPr>
          <w:rFonts w:ascii="SimSun" w:hAnsi="SimSun" w:eastAsia="SimSun" w:cs="SimSun"/>
          <w:sz w:val="32"/>
        </w:rPr>
        <w:t>SimSun：中文字体测试｜广告诊断与优化方案</w:t>
      </w:r>
    </w:p>
    <w:p>
      <w:r>
        <w:rPr>
          <w:rFonts w:ascii="Arial Unicode MS" w:hAnsi="Arial Unicode MS" w:eastAsia="Arial Unicode MS" w:cs="Arial Unicode MS"/>
          <w:sz w:val="32"/>
        </w:rPr>
        <w:t>Arial Unicode MS：中文字体测试｜广告诊断与优化方案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