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differing in populations, periods, and reference groups, and not yet assembled on a common scale.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four databases were searched for U.S. studies of female invasive breast cancer incidence by race or ethnicity; those with a recoverable non-Hispanic White (NHW) comparison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included—49 eligible for quantitative synthesis and 113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w:t>
      </w:r>
      <w:r>
        <w:rPr>
          <w:rFonts w:ascii="Times New Roman" w:cs="Times New Roman" w:eastAsia="Times New Roman" w:hAnsi="Times New Roman"/>
          <w:sz w:val="24"/>
          <w:szCs w:val="24"/>
          <w:vertAlign w:val="superscript"/>
        </w:rPr>
        <w:t xml:space="preserve">2,4</w:t>
      </w:r>
      <w:r>
        <w:rPr>
          <w:rFonts w:ascii="Times New Roman" w:cs="Times New Roman" w:eastAsia="Times New Roman" w:hAnsi="Times New Roman"/>
          <w:sz w:val="24"/>
          <w:szCs w:val="24"/>
        </w:rPr>
        <w:t xml:space="preserve"> and to stage at diagnosis, screening, and access to care.</w:t>
      </w:r>
      <w:r>
        <w:rPr>
          <w:rFonts w:ascii="Times New Roman" w:cs="Times New Roman" w:eastAsia="Times New Roman" w:hAnsi="Times New Roman"/>
          <w:sz w:val="24"/>
          <w:szCs w:val="24"/>
          <w:vertAlign w:val="superscript"/>
        </w:rPr>
        <w:t xml:space="preserve">1</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linkage to Indian Health Service (IHS)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In all, 162 publications were included in the systematic review; of these, 49 were eligible for quantitative synthesis and the remaining 113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Where the best-ascertained source for a cell reported only an unstratified White comparator, as for Alaska Native women, that estimate was kept as the representative and the non-Hispanic-White-comparator alternative was carried in the sensitivity analysis.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49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Each representative therefore rested on a directly reported ratio or on minority and reference rates from the same source.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(reasons in Supplementary Table 3), giving 162 included studies (Figure 1). Of these, 49 were eligible for quantitative synthesis and entered the analysis, contributing 169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—22 supplied a cell representative, and the remainder contributed overlapping estimates carried only in the sensitivity analysis; the remaining 113 informed the narrative synthesis (162 = 49 + 113). The extracted studies were published between 2002 and 2026 and drew on SEER, NPCR and USCS, NAACCR, IHS-linked and tribal registries, and individual state or regional registries (Supplementary Table 2). After collapsing overlapping registry-family estimates, 76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IRR, or age-standardized rates, from which a comparison with an NHW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49 studies were at low risk of bias and 10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58 of 76 cell representatives unchanged, with the 8 changed and 10 dropped cells concentrated in the disaggregated AANHPI subgroups and the age-specific cells; restricting to directly reported estimates left 39 unchanged (5 changed, 32 dropped); and restricting to NHW-comparator estimates left 58 unchanged (1 changed, 17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span the six IHS regions from 0.57 (Southwest) to 1.33 (Southern Plains), reaching or exceeding the NHW rate in the Northern Plains (1.05), Alaska Native women (1.09, confidence interval spanning 1.0), and the Southern Plains (1.33).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aab8e1c9ceb67d9dae6c663c0908dde7fbcdab5.png"/><Relationship Id="rId8" Type="http://schemas.openxmlformats.org/officeDocument/2006/relationships/image" Target="media/12fffc45213a8b9751759587fb6c56076048306a.png"/><Relationship Id="rId9" Type="http://schemas.openxmlformats.org/officeDocument/2006/relationships/image" Target="media/8d6410257514f925bdfa5dd2ccce1c3c8c61f77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2026-09-09T09:52:18.385Z</dcterms:created>
  <dcterms:modified xsi:type="dcterms:W3CDTF">2026-09-09T09:52:18.385Z</dcterms:modified>
</cp:coreProperties>
</file>

<file path=docProps/custom.xml><?xml version="1.0" encoding="utf-8"?>
<Properties xmlns="http://schemas.openxmlformats.org/officeDocument/2006/custom-properties" xmlns:vt="http://schemas.openxmlformats.org/officeDocument/2006/docPropsVTypes"/>
</file>