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Malgun Gothic" w:cs="Malgun Gothic" w:eastAsia="Malgun Gothic" w:hAnsi="Malgun Gothic"/>
          <w:b/>
          <w:bCs/>
          <w:sz w:val="34"/>
          <w:szCs w:val="34"/>
        </w:rPr>
        <w:t xml:space="preserve">Main Text — Tables and Figures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sz w:val="20"/>
          <w:szCs w:val="20"/>
        </w:rPr>
        <w:t xml:space="preserve">Racial and Ethnic Differences in Breast Cancer Incidence in the United States: A Systematic Review and Meta-Analysis</w:t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Table 1. Incidence rate ratios of invasive breast cancer among U.S. racial and ethnic groups relative to non-Hispanic White women, by analytic dimension</w:t>
      </w: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One representative estimate per group (one estimate per registry family). Effect measure is the incidence rate ratio (IRR) unless noted as a standardized incidence ratio (SIR). RoB = Newcastle-Ottawa rating of the representative study; GRADE = certainty of evidence. Full per-estimate detail is in the Supplementary Materials.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3439"/>
        <w:gridCol w:w="1182"/>
        <w:gridCol w:w="3224"/>
        <w:gridCol w:w="3654"/>
        <w:gridCol w:w="1504"/>
        <w:gridCol w:w="1397"/>
      </w:tblGrid>
      <w:tr>
        <w:trPr>
          <w:tblHeader/>
        </w:trPr>
        <w:tc>
          <w:tcPr>
            <w:tcW w:type="dxa" w:w="3439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1182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Effect</w:t>
            </w:r>
          </w:p>
        </w:tc>
        <w:tc>
          <w:tcPr>
            <w:tcW w:type="dxa" w:w="3224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Estimate [95% CI]</w:t>
            </w:r>
          </w:p>
        </w:tc>
        <w:tc>
          <w:tcPr>
            <w:tcW w:type="dxa" w:w="3654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Representative study</w:t>
            </w:r>
          </w:p>
        </w:tc>
        <w:tc>
          <w:tcPr>
            <w:tcW w:type="dxa" w:w="1504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RoB</w:t>
            </w:r>
          </w:p>
        </w:tc>
        <w:tc>
          <w:tcPr>
            <w:tcW w:type="dxa" w:w="1397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GRADE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Overall invasive breast cancer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AIAN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0.560 [0.550, 0.570]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Gopalani 2020 (1999-2015)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0.718 [0.707, 0.731]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and Pacific Islander (API)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[0.752, 0.788]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0.933 [0.920, 0.946]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Asian American / Native Hawaiian / Pacific Islander subgroups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Hmong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0.164 [0.120, 0.224]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Mills 2005 (Hmong 1988-2000 / NHW 1995-1999)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High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Cambodian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0.264 [0.204, 0.341]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Kem 2007 (1998-2002)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Laotian/Kampuchean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0.388 [0.350, 0.430]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Vietnamese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0.586 [0.566, 0.608]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Korean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0.677 [0.654, 0.701]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Guamanian/Chamorro/Samoan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0.723 [0.641, 0.817]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0.760 [0.745, 0.775]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0.792 [0.784, 0.800]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0.857 [0.839, 0.874]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Filipino (young)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 [0.90, 1.01]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2017 (2009-2013)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Very 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Indian/Pakistani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0.958 [0.937, 0.979]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 (young)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1.02 [0.91, 1.14]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2017 (2009-2013)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Very 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1.045 [1.009, 1.083]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1.211 [1.123, 1.305]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Miller 2008 (1998-2002)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 and Pacific Islander (NHPI)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1.212 [1.168, 1.258]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Hispanic/Latina by country of origin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Mexican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0.503 [0.376, 0.673]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Hispanic/Latina (aggregate)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SIR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0.64 (point est.)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Carozza 2006 (1995-2000)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Very 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New Latino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0.684 [0.619, 0.756]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Cuban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0.755 [0.677, 0.842]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Puerto Rican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0.817 [0.726, 0.920]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American Indian / Alaska Native by region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AIAN (Navajo)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0.49 [0.44, 0.55]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Yazzie 2025 (2014-2018)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AIAN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0.87 (point est.)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(2012-2016)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Very 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AIAN (Southern Plains, provisional)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1.25 [1.11, 1.41]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AIAN (Northern Plains, provisional)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1.33 [1.26, 1.41]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Middle Eastern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Middle Eastern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[0.84, 0.88]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Nasseri 2009 (1988-2004)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Triple-negative breast cancer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0.53 [0.39, 0.71]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Asian-American combined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[0.58, 0.65]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2017 (2009-2013)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and Pacific Islander (API)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0.700 [0.680, 0.720]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Filipino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0.84 [0.8, 0.88]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AIAN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[0.800, 0.930]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[0.840, 0.880]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[0.79, 0.91]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1.950 [1.930, 1.980]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Male breast cancer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 (men)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1.52 [1.44, 1.6]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2020 (2011-2015)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Table 2. Aggregate meta-analysis of invasive breast cancer incidence by racial and ethnic group</w:t>
      </w: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Primary result = the main-analysis IRR, a single representative estimate per registry family (no pooling, so no k / I² / heterogeneity test apply to it). The sensitivity analysis pools every overlapping registry estimate for the cell with a random-effects model (Paule-Mandel/REML τ², Hartung-Knapp-Sidik-Jonkman CI); the No. of estimates, I², and Cochran's Q p-value below describe THAT pool. Because those estimates repeatedly include the same nested registries (SEER ⊂ NAACCR ⊂ USCS), they are not independent — hence the very high I² / small Q p is a non-independence artifact, not genuine between-study heterogeneity (Supplementary Table 8; GRADE framework, Table 6). Concordance of the two columns indicates the direction is robust.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3423"/>
        <w:gridCol w:w="2951"/>
        <w:gridCol w:w="2951"/>
        <w:gridCol w:w="1416"/>
        <w:gridCol w:w="1770"/>
        <w:gridCol w:w="826"/>
        <w:gridCol w:w="1062"/>
      </w:tblGrid>
      <w:tr>
        <w:trPr>
          <w:tblHeader/>
        </w:trPr>
        <w:tc>
          <w:tcPr>
            <w:tcW w:type="dxa" w:w="3423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Comparison (vs NHW)</w:t>
            </w:r>
          </w:p>
        </w:tc>
        <w:tc>
          <w:tcPr>
            <w:tcW w:type="dxa" w:w="2951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Main IRR (95% CI)
[primary, one-per-family]</w:t>
            </w:r>
          </w:p>
        </w:tc>
        <w:tc>
          <w:tcPr>
            <w:tcW w:type="dxa" w:w="2951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Sensitivity IRR (95% CI)
[all overlapping]</w:t>
            </w:r>
          </w:p>
        </w:tc>
        <w:tc>
          <w:tcPr>
            <w:tcW w:type="dxa" w:w="1416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No. of estimates</w:t>
            </w:r>
          </w:p>
        </w:tc>
        <w:tc>
          <w:tcPr>
            <w:tcW w:type="dxa" w:w="1770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Model</w:t>
            </w:r>
          </w:p>
        </w:tc>
        <w:tc>
          <w:tcPr>
            <w:tcW w:type="dxa" w:w="826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I²</w:t>
            </w:r>
          </w:p>
        </w:tc>
        <w:tc>
          <w:tcPr>
            <w:tcW w:type="dxa" w:w="1062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Q p</w:t>
            </w:r>
          </w:p>
        </w:tc>
      </w:tr>
      <w:tr>
        <w:tc>
          <w:tcPr>
            <w:tcW w:type="dxa" w:w="342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Overall invasive breast cancer — Black</w:t>
            </w:r>
          </w:p>
        </w:tc>
        <w:tc>
          <w:tcPr>
            <w:tcW w:type="dxa" w:w="295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0.933 (0.92-0.946)</w:t>
            </w:r>
          </w:p>
        </w:tc>
        <w:tc>
          <w:tcPr>
            <w:tcW w:type="dxa" w:w="295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0.951 (0.936-0.965)</w:t>
            </w:r>
          </w:p>
        </w:tc>
        <w:tc>
          <w:tcPr>
            <w:tcW w:type="dxa" w:w="14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9</w:t>
            </w:r>
          </w:p>
        </w:tc>
        <w:tc>
          <w:tcPr>
            <w:tcW w:type="dxa" w:w="177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Random-effects</w:t>
            </w:r>
          </w:p>
        </w:tc>
        <w:tc>
          <w:tcPr>
            <w:tcW w:type="dxa" w:w="8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96%</w:t>
            </w:r>
          </w:p>
        </w:tc>
        <w:tc>
          <w:tcPr>
            <w:tcW w:type="dxa" w:w="106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&lt;0.001</w:t>
            </w:r>
          </w:p>
        </w:tc>
      </w:tr>
      <w:tr>
        <w:tc>
          <w:tcPr>
            <w:tcW w:type="dxa" w:w="342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Overall invasive breast cancer — Hispanic</w:t>
            </w:r>
          </w:p>
        </w:tc>
        <w:tc>
          <w:tcPr>
            <w:tcW w:type="dxa" w:w="295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0.718 (0.706-0.73)</w:t>
            </w:r>
          </w:p>
        </w:tc>
        <w:tc>
          <w:tcPr>
            <w:tcW w:type="dxa" w:w="295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0.719 (0.675-0.765)</w:t>
            </w:r>
          </w:p>
        </w:tc>
        <w:tc>
          <w:tcPr>
            <w:tcW w:type="dxa" w:w="14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7</w:t>
            </w:r>
          </w:p>
        </w:tc>
        <w:tc>
          <w:tcPr>
            <w:tcW w:type="dxa" w:w="177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Random-effects</w:t>
            </w:r>
          </w:p>
        </w:tc>
        <w:tc>
          <w:tcPr>
            <w:tcW w:type="dxa" w:w="8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99%</w:t>
            </w:r>
          </w:p>
        </w:tc>
        <w:tc>
          <w:tcPr>
            <w:tcW w:type="dxa" w:w="106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&lt;0.001</w:t>
            </w:r>
          </w:p>
        </w:tc>
      </w:tr>
      <w:tr>
        <w:tc>
          <w:tcPr>
            <w:tcW w:type="dxa" w:w="342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Overall invasive breast cancer — Asian and Pacific Islander (API)</w:t>
            </w:r>
          </w:p>
        </w:tc>
        <w:tc>
          <w:tcPr>
            <w:tcW w:type="dxa" w:w="295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(0.751-0.787)</w:t>
            </w:r>
          </w:p>
        </w:tc>
        <w:tc>
          <w:tcPr>
            <w:tcW w:type="dxa" w:w="295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0.798 (0.724-0.878)</w:t>
            </w:r>
          </w:p>
        </w:tc>
        <w:tc>
          <w:tcPr>
            <w:tcW w:type="dxa" w:w="14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6</w:t>
            </w:r>
          </w:p>
        </w:tc>
        <w:tc>
          <w:tcPr>
            <w:tcW w:type="dxa" w:w="177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Random-effects</w:t>
            </w:r>
          </w:p>
        </w:tc>
        <w:tc>
          <w:tcPr>
            <w:tcW w:type="dxa" w:w="8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100%</w:t>
            </w:r>
          </w:p>
        </w:tc>
        <w:tc>
          <w:tcPr>
            <w:tcW w:type="dxa" w:w="106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&lt;0.001</w:t>
            </w:r>
          </w:p>
        </w:tc>
      </w:tr>
      <w:tr>
        <w:tc>
          <w:tcPr>
            <w:tcW w:type="dxa" w:w="342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Overall invasive breast cancer — AIAN</w:t>
            </w:r>
          </w:p>
        </w:tc>
        <w:tc>
          <w:tcPr>
            <w:tcW w:type="dxa" w:w="295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0.56 (0.55-0.57)</w:t>
            </w:r>
          </w:p>
        </w:tc>
        <w:tc>
          <w:tcPr>
            <w:tcW w:type="dxa" w:w="295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0.695 (0.603-0.802)</w:t>
            </w:r>
          </w:p>
        </w:tc>
        <w:tc>
          <w:tcPr>
            <w:tcW w:type="dxa" w:w="14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7</w:t>
            </w:r>
          </w:p>
        </w:tc>
        <w:tc>
          <w:tcPr>
            <w:tcW w:type="dxa" w:w="177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Random-effects</w:t>
            </w:r>
          </w:p>
        </w:tc>
        <w:tc>
          <w:tcPr>
            <w:tcW w:type="dxa" w:w="8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99%</w:t>
            </w:r>
          </w:p>
        </w:tc>
        <w:tc>
          <w:tcPr>
            <w:tcW w:type="dxa" w:w="106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&lt;0.001</w:t>
            </w:r>
          </w:p>
        </w:tc>
      </w:tr>
      <w:tr>
        <w:tc>
          <w:tcPr>
            <w:tcW w:type="dxa" w:w="342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Triple-negative — Black</w:t>
            </w:r>
          </w:p>
        </w:tc>
        <w:tc>
          <w:tcPr>
            <w:tcW w:type="dxa" w:w="295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1.95 (1.925-1.975)</w:t>
            </w:r>
          </w:p>
        </w:tc>
        <w:tc>
          <w:tcPr>
            <w:tcW w:type="dxa" w:w="295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1.968 (1.815-2.134)</w:t>
            </w:r>
          </w:p>
        </w:tc>
        <w:tc>
          <w:tcPr>
            <w:tcW w:type="dxa" w:w="14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177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Random-effects</w:t>
            </w:r>
          </w:p>
        </w:tc>
        <w:tc>
          <w:tcPr>
            <w:tcW w:type="dxa" w:w="8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84%</w:t>
            </w:r>
          </w:p>
        </w:tc>
        <w:tc>
          <w:tcPr>
            <w:tcW w:type="dxa" w:w="106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&lt;0.001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AIAN main analysis uses the Indian Health Service–linked (undercount-corrected) representative; the higher unlinked SEER value (0.71) enters only the sensitivity pool. Main and sensitivity estimates agree closely in direction for all groups. No. of estimates / I² / Q p are properties of the sensitivity pool only.</w:t>
      </w:r>
    </w:p>
    <w:p>
      <w:r>
        <w:br w:type="page"/>
      </w:r>
    </w:p>
    <w:p>
      <w:pPr>
        <w:sectPr>
          <w:pgSz w:w="15840" w:h="12240" w:orient="landscape"/>
          <w:pgMar w:top="720" w:right="720" w:bottom="720" w:left="720" w:header="708" w:footer="708" w:gutter="0"/>
          <w:pgNumType/>
          <w:docGrid w:linePitch="360"/>
        </w:sectPr>
      </w:pP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1. PRISMA 2020 flow diagram</w:t>
      </w:r>
    </w:p>
    <w:p>
      <w:pPr>
        <w:jc w:val="center"/>
      </w:pPr>
      <w:r>
        <w:drawing>
          <wp:inline distT="0" distB="0" distL="0" distR="0">
            <wp:extent cx="6477000" cy="5505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2. Disaggregated Asian American / Native Hawaiian and Pacific Islander subgroups versus the aggregate (IRR vs non-Hispanic White)</w:t>
      </w:r>
    </w:p>
    <w:p>
      <w:pPr>
        <w:jc w:val="center"/>
      </w:pPr>
      <w:r>
        <w:drawing>
          <wp:inline distT="0" distB="0" distL="0" distR="0">
            <wp:extent cx="6858000" cy="4476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3. Aggregate racial and ethnic groups, Hispanic origin, American Indian / Alaska Native region, and Middle Eastern populations (IRR vs non-Hispanic White)</w:t>
      </w:r>
    </w:p>
    <w:p>
      <w:pPr>
        <w:jc w:val="center"/>
      </w:pPr>
      <w:r>
        <w:drawing>
          <wp:inline distT="0" distB="0" distL="0" distR="0">
            <wp:extent cx="6858000" cy="4476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5a5503ae949d8247c0463903e91a29661d9f87b.png"/><Relationship Id="rId8" Type="http://schemas.openxmlformats.org/officeDocument/2006/relationships/image" Target="media/4f0f6d7e558ff60e76ff295e46f74f29159060bb.png"/><Relationship Id="rId9" Type="http://schemas.openxmlformats.org/officeDocument/2006/relationships/image" Target="media/b628ce1d3cdf496eb8632233eff210c260bc6aba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2026-08-15T11:53:56.842Z</dcterms:created>
  <dcterms:modified xsi:type="dcterms:W3CDTF">2026-08-15T11:53:56.842Z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