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 N (No) / U (Unclear) / NA (not applicable); overall risk of bias is Low, Moderate, or High.</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recorded NA (not applicable), because census-like registry ascertainment has no survey response rate, so Q9 is not counted as a defect.</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each included report's tables as page images,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2026-09-12T02:16:38.772Z</dcterms:created>
  <dcterms:modified xsi:type="dcterms:W3CDTF">2026-09-12T02:16:38.773Z</dcterms:modified>
</cp:coreProperties>
</file>

<file path=docProps/custom.xml><?xml version="1.0" encoding="utf-8"?>
<Properties xmlns="http://schemas.openxmlformats.org/officeDocument/2006/custom-properties" xmlns:vt="http://schemas.openxmlformats.org/officeDocument/2006/docPropsVTypes"/>
</file>