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968"/>
        <w:gridCol w:w="1865"/>
        <w:gridCol w:w="2279"/>
        <w:gridCol w:w="2072"/>
        <w:gridCol w:w="1243"/>
        <w:gridCol w:w="2279"/>
        <w:gridCol w:w="2694"/>
      </w:tblGrid>
      <w:tr>
        <w:trPr>
          <w:tblHeader/>
        </w:trPr>
        <w:tc>
          <w:tcPr>
            <w:tcW w:type="dxa" w:w="196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86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07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22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69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Berdahl2021_NM-SEER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Melkonian2019_IHS-PRCDA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Nihiseah2025_Navajo</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Melkonian2020_IHS-PRCDA</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Nash2019_ANTR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ANTR2021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Howe2006_multistate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Wilkinson2002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Pinheiro2009_FL</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Clegg2009_SEER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Anderson2008_SEER_19066264</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Amirikia2008_SEER9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Hendrick2024_SEER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Sangaramoorthy2022_HTR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Gopalani2020_31764279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MMWR2012_VitalSigns_23151952</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MMWR2016_27736827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Anderson2008_SEER13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0.848 [0.839, 0.858]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MMWR2022_USCS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Ellington2022_USCS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Miller2021_SEER9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SEER22_Explorer_2019-2023</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2024_USCS_female</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Kem2007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Mills2005</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Wu2004_SEERplusCCR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Liu2012_LACounty</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Miller2008_NAACCR-API</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1.263 [1.206, 1.323]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Sung2026_SEER21</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McCracken2007_CCR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Gomez2007_GBACR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Nasseri2009</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Sung2020_USCS50</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Gomez2010_CCR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Jemal2024_SEER17</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Anderson2012_SEER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Chen2017_CCR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1.816</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Lund2010_AtlantaSEER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Scott2023_USCS</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Kohler2015_SEER18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0.819</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Kong2020_SEER18</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968"/>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Loo2019_HTR</w:t>
            </w:r>
          </w:p>
        </w:tc>
        <w:tc>
          <w:tcPr>
            <w:tcW w:type="dxa" w:w="186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07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22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69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Kohler2015_SEER18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Jemal2024_SEER17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2024_USCS_female</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Nash2019_ANTR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ANTR2021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Miller2021_SEER9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Liu2012_LACounty</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Berdahl2021_NM-SEER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Hendrick2024_SEER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Scott2023_USCS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Loo2019_HTR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MMWR2022_USCS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MMWR2012_VitalSigns_23151952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Amirikia2008_SEER9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Anderson2012_SEER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Anderson2008_SEER13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Sung2026_SEER21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Gomez2010_CCR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Anderson2008_SEER_19066264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Kong2020_SEER18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Chen2017_CCR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Keegan2010_CCR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MMWR2016_27736827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Lund2010_AtlantaSEER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Gomez2007_GBACR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Clegg2009_SEER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Gopalani2020_31764279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Sangaramoorthy2022_HTR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Nihiseah2025_Navajo</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Ellington2022_USCS</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Sung2020_USCS50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Melkonian2019_IHS-PRCDA</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Pinheiro2009_FL</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Howe2006_multistate</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Wu2004_SEERplusCCR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Melkonian2020_IHS-PRCDA</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Miller2008_NAACCR-API</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McCracken2007_CCR</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0.788 [0.780, 0.796]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 0.973]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0.756 [0.741, 0.771]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0.852 [0.835, 0.869]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 [0.90, 1.01]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[0.637, 0.812]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1.039 [1.003, 1.076]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(young)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 [0.91,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 0.697]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0.386 [0.348, 0.428]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1.205 [1.161, 1.251]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0.583 [0.562, 0.605]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disaggregated-MENA</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 provisional)</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0.825 [0.814,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male-BC-TNBC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subtype-HRneg-HER2pos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[1.31, 1.37]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subtype-HRpos-HER2neg</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280"/>
        <w:gridCol w:w="2640"/>
        <w:gridCol w:w="840"/>
        <w:gridCol w:w="3600"/>
        <w:gridCol w:w="1080"/>
        <w:gridCol w:w="3960"/>
      </w:tblGrid>
      <w:tr>
        <w:trPr>
          <w:tblHeader/>
        </w:trPr>
        <w:tc>
          <w:tcPr>
            <w:tcW w:type="dxa" w:w="22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6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8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10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396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0.693 (0.58-0.827)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0.795 (0.7-0.903)</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8</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0.935 (0.902-0.969)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5</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 (0.707-0.762)</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(0.045-12.907)</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(0.932-0.973)</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(0.001-204.26)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0.674 (0.651-0.697)</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1.248 (0.983-1.585)</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(0.344-1.6)</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2.006 (1.373-2.929)</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92%</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2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subtype-TNBC</w:t>
            </w:r>
          </w:p>
        </w:tc>
        <w:tc>
          <w:tcPr>
            <w:tcW w:type="dxa" w:w="26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8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 (0.51-1.58)</w:t>
            </w:r>
          </w:p>
        </w:tc>
        <w:tc>
          <w:tcPr>
            <w:tcW w:type="dxa" w:w="10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94%</w:t>
            </w:r>
          </w:p>
        </w:tc>
        <w:tc>
          <w:tcPr>
            <w:tcW w:type="dxa" w:w="396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Sensitivity IRR = all k estimates pooled with a Paule-Mandel τ² and a Hartung-Knapp-Sidik-Jonkman confidence interval. I² is the sensitivity (all-included) value; the very high I² reflects repeated inclusion of non-independent, overlapping registry data rather than genuine between-study heterogeneity. Main IRR = the single one-per-registry-family representative, which removes that non-independence. For cells with k &lt; 3 the HKSJ interval (t-distribution with k−1 df) is unstable and over-wide, so the point estimate should be read rather than the interval. Only cells with ≥ 2 overlapping estimates appear here.</w:t>
      </w:r>
    </w:p>
    <w:p>
      <w:pPr>
        <w:spacing w:after="80"/>
      </w:pPr>
      <w:r>
        <w:rPr>
          <w:rFonts w:ascii="Malgun Gothic" w:cs="Malgun Gothic" w:eastAsia="Malgun Gothic" w:hAnsi="Malgun Gothic"/>
          <w:i w:val="false"/>
          <w:iCs w:val="false"/>
          <w:sz w:val="18"/>
          <w:szCs w:val="18"/>
        </w:rPr>
        <w:t xml:space="preserve">Estimator comparison on the largest cell (aggregate Black, k=8): DL IRR 0.934 (τ²=0.0011, I²=98%), HKSJ 0.901–0.969; Paule-Mandel/REML IRR 0.935 (τ²=0.0018), HKSJ 0.902–0.969.</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S10a. Good-RoB-only (Poor studies dropped): 82 of 90 cells unchanged, 1 changed, 7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subtype-ERneg-PRpos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subtype-ERpos-PRneg</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subtype-HRpos-HER2pos</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S10b.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Asian/PI (aggregate)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aggregate-vs-NHW</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disaggregated-AANHPI</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S10a; author-reported IRR/SIR only in S10b).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**rec 2 (Kohler 2015,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**Point estimates only — no CI** (a proper CI needs age-specific variance</w:t>
      </w:r>
    </w:p>
    <w:p>
      <w:pPr>
        <w:spacing w:after="80"/>
      </w:pPr>
      <w:r>
        <w:rPr>
          <w:rFonts w:ascii="Malgun Gothic" w:cs="Malgun Gothic" w:eastAsia="Malgun Gothic" w:hAnsi="Malgun Gothic"/>
          <w:i w:val="false"/>
          <w:iCs w:val="false"/>
          <w:sz w:val="18"/>
          <w:szCs w:val="18"/>
        </w:rPr>
        <w:t xml:space="preserve">• propagation, not attempted). Provenance = `computed-from-rates`.</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rec 10, rec 234, rec 522, rec 2131, rec 3182, rec 3398, rec 4040.</w:t>
      </w:r>
    </w:p>
    <w:p>
      <w:pPr>
        <w:spacing w:after="80"/>
      </w:pPr>
      <w:r>
        <w:rPr>
          <w:rFonts w:ascii="Malgun Gothic" w:cs="Malgun Gothic" w:eastAsia="Malgun Gothic" w:hAnsi="Malgun Gothic"/>
          <w:i w:val="false"/>
          <w:iCs w:val="false"/>
          <w:sz w:val="18"/>
          <w:szCs w:val="18"/>
        </w:rPr>
        <w:t xml:space="preserve">• **point only (no CI):** rec 2, rec 100, rec 265, rec 333, rec 346, rec 381,</w:t>
      </w:r>
    </w:p>
    <w:p>
      <w:pPr>
        <w:spacing w:after="80"/>
      </w:pPr>
      <w:r>
        <w:rPr>
          <w:rFonts w:ascii="Malgun Gothic" w:cs="Malgun Gothic" w:eastAsia="Malgun Gothic" w:hAnsi="Malgun Gothic"/>
          <w:i w:val="false"/>
          <w:iCs w:val="false"/>
          <w:sz w:val="18"/>
          <w:szCs w:val="18"/>
        </w:rPr>
        <w:t xml:space="preserve">• rec 463, rec 485, rec 500, rec 4098.</w:t>
      </w:r>
    </w:p>
    <w:p>
      <w:pPr>
        <w:spacing w:after="80"/>
      </w:pPr>
      <w:r>
        <w:rPr>
          <w:rFonts w:ascii="Malgun Gothic" w:cs="Malgun Gothic" w:eastAsia="Malgun Gothic" w:hAnsi="Malgun Gothic"/>
          <w:i w:val="false"/>
          <w:iCs w:val="false"/>
          <w:sz w:val="18"/>
          <w:szCs w:val="18"/>
        </w:rPr>
        <w:t xml:space="preserve">• Elaborated elsewhere: rec 2 (§1), rec 234 &amp; rec 3182 (§4).</w:t>
      </w:r>
    </w:p>
    <w:p>
      <w:pPr>
        <w:spacing w:after="80"/>
      </w:pPr>
      <w:r>
        <w:rPr>
          <w:rFonts w:ascii="Malgun Gothic" w:cs="Malgun Gothic" w:eastAsia="Malgun Gothic" w:hAnsi="Malgun Gothic"/>
          <w:i w:val="false"/>
          <w:iCs w:val="false"/>
          <w:sz w:val="18"/>
          <w:szCs w:val="18"/>
        </w:rPr>
        <w:t xml:space="preserve">• **rec 10**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**rec 265/346** use "White"/"Black" not NH-stratified (rec 346 White incl.</w:t>
      </w:r>
    </w:p>
    <w:p>
      <w:pPr>
        <w:spacing w:after="80"/>
      </w:pPr>
      <w:r>
        <w:rPr>
          <w:rFonts w:ascii="Malgun Gothic" w:cs="Malgun Gothic" w:eastAsia="Malgun Gothic" w:hAnsi="Malgun Gothic"/>
          <w:i w:val="false"/>
          <w:iCs w:val="false"/>
          <w:sz w:val="18"/>
          <w:szCs w:val="18"/>
        </w:rPr>
        <w:t xml:space="preserve">• Hispanic); rec 265 is the crossover from printed age-specific rates, no ratio CI.</w:t>
      </w:r>
    </w:p>
    <w:p>
      <w:pPr>
        <w:spacing w:after="80"/>
      </w:pPr>
      <w:r>
        <w:rPr>
          <w:rFonts w:ascii="Malgun Gothic" w:cs="Malgun Gothic" w:eastAsia="Malgun Gothic" w:hAnsi="Malgun Gothic"/>
          <w:i w:val="false"/>
          <w:iCs w:val="false"/>
          <w:sz w:val="18"/>
          <w:szCs w:val="18"/>
        </w:rPr>
        <w:t xml:space="preserve">• **rec 500**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**rec 203,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**rec 49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**rec 3267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**rec 234 (Sung 2026).** Reports disaggregated AANHPI rates but no numeric NHW.</w:t>
      </w:r>
    </w:p>
    <w:p>
      <w:pPr>
        <w:spacing w:after="80"/>
      </w:pPr>
      <w:r>
        <w:rPr>
          <w:rFonts w:ascii="Malgun Gothic" w:cs="Malgun Gothic" w:eastAsia="Malgun Gothic" w:hAnsi="Malgun Gothic"/>
          <w:i w:val="false"/>
          <w:iCs w:val="false"/>
          <w:sz w:val="18"/>
          <w:szCs w:val="18"/>
        </w:rPr>
        <w:t xml:space="preserve">• Paired with the **SEER-Explorer** NHW female-breast rate, same submission</w:t>
      </w:r>
    </w:p>
    <w:p>
      <w:pPr>
        <w:spacing w:after="80"/>
      </w:pPr>
      <w:r>
        <w:rPr>
          <w:rFonts w:ascii="Malgun Gothic" w:cs="Malgun Gothic" w:eastAsia="Malgun Gothic" w:hAnsi="Malgun Gothic"/>
          <w:i w:val="false"/>
          <w:iCs w:val="false"/>
          <w:sz w:val="18"/>
          <w:szCs w:val="18"/>
        </w:rPr>
        <w:t xml:space="preserve">• (Nov 2025), same registry set (SEER-21), same standard (2000 US), same</w:t>
      </w:r>
    </w:p>
    <w:p>
      <w:pPr>
        <w:spacing w:after="80"/>
      </w:pPr>
      <w:r>
        <w:rPr>
          <w:rFonts w:ascii="Malgun Gothic" w:cs="Malgun Gothic" w:eastAsia="Malgun Gothic" w:hAnsi="Malgun Gothic"/>
          <w:i w:val="false"/>
          <w:iCs w:val="false"/>
          <w:sz w:val="18"/>
          <w:szCs w:val="18"/>
        </w:rPr>
        <w:t xml:space="preserve">• period-window handling (non-delay-adjusted, 2018–2022 mean = 140.3). Documented;</w:t>
      </w:r>
    </w:p>
    <w:p>
      <w:pPr>
        <w:spacing w:after="80"/>
      </w:pPr>
      <w:r>
        <w:rPr>
          <w:rFonts w:ascii="Malgun Gothic" w:cs="Malgun Gothic" w:eastAsia="Malgun Gothic" w:hAnsi="Malgun Gothic"/>
          <w:i w:val="false"/>
          <w:iCs w:val="false"/>
          <w:sz w:val="18"/>
          <w:szCs w:val="18"/>
        </w:rPr>
        <w:t xml:space="preserve">• the 2019–2023 pooled value (141.3) agrees as a sensitivity check.</w:t>
      </w:r>
    </w:p>
    <w:p>
      <w:pPr>
        <w:spacing w:after="80"/>
      </w:pPr>
      <w:r>
        <w:rPr>
          <w:rFonts w:ascii="Malgun Gothic" w:cs="Malgun Gothic" w:eastAsia="Malgun Gothic" w:hAnsi="Malgun Gothic"/>
          <w:i w:val="false"/>
          <w:iCs w:val="false"/>
          <w:sz w:val="18"/>
          <w:szCs w:val="18"/>
        </w:rPr>
        <w:t xml:space="preserve">• **rec 3182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**rec 51 (ANTR 2021,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rec 28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rec 28 is the</w:t>
      </w:r>
    </w:p>
    <w:p>
      <w:pPr>
        <w:spacing w:after="80"/>
      </w:pPr>
      <w:r>
        <w:rPr>
          <w:rFonts w:ascii="Malgun Gothic" w:cs="Malgun Gothic" w:eastAsia="Malgun Gothic" w:hAnsi="Malgun Gothic"/>
          <w:i w:val="false"/>
          <w:iCs w:val="false"/>
          <w:sz w:val="18"/>
          <w:szCs w:val="18"/>
        </w:rPr>
        <w:t xml:space="preserve">• cell representative, rec 51 is a sensitivity/overlap estimate (its 0.95 vs</w:t>
      </w:r>
    </w:p>
    <w:p>
      <w:pPr>
        <w:spacing w:after="80"/>
      </w:pPr>
      <w:r>
        <w:rPr>
          <w:rFonts w:ascii="Malgun Gothic" w:cs="Malgun Gothic" w:eastAsia="Malgun Gothic" w:hAnsi="Malgun Gothic"/>
          <w:i w:val="false"/>
          <w:iCs w:val="false"/>
          <w:sz w:val="18"/>
          <w:szCs w:val="18"/>
        </w:rPr>
        <w:t xml:space="preserve">• rec 28's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**rec 4333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rec 3298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**rec 587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**rec 955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rec 234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rec 461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**rec 1336**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**rec 2548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rec 49 instead).</w:t>
      </w:r>
    </w:p>
    <w:p>
      <w:pPr>
        <w:spacing w:after="80"/>
      </w:pPr>
      <w:r>
        <w:rPr>
          <w:rFonts w:ascii="Malgun Gothic" w:cs="Malgun Gothic" w:eastAsia="Malgun Gothic" w:hAnsi="Malgun Gothic"/>
          <w:i w:val="false"/>
          <w:iCs w:val="false"/>
          <w:sz w:val="18"/>
          <w:szCs w:val="18"/>
        </w:rPr>
        <w:t xml:space="preserve">• **rec 461/955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**rec 286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rec 2 age-standardized IRRs and for a few rate-only</w:t>
      </w:r>
    </w:p>
    <w:p>
      <w:pPr>
        <w:spacing w:after="80"/>
      </w:pPr>
      <w:r>
        <w:rPr>
          <w:rFonts w:ascii="Malgun Gothic" w:cs="Malgun Gothic" w:eastAsia="Malgun Gothic" w:hAnsi="Malgun Gothic"/>
          <w:i w:val="false"/>
          <w:iCs w:val="false"/>
          <w:sz w:val="18"/>
          <w:szCs w:val="18"/>
        </w:rPr>
        <w:t xml:space="preserve">• rows (rec 4098,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pStyle w:val="Heading1"/>
        <w:spacing w:after="100" w:before="200"/>
      </w:pPr>
      <w:r>
        <w:rPr>
          <w:rFonts w:ascii="Malgun Gothic" w:cs="Malgun Gothic" w:eastAsia="Malgun Gothic" w:hAnsi="Malgun Gothic"/>
          <w:b/>
          <w:bCs/>
          <w:sz w:val="24"/>
          <w:szCs w:val="24"/>
        </w:rPr>
        <w:t xml:space="preserve">Supplementary Figure 1. PRISMA 2020 flow diagram</w:t>
      </w:r>
    </w:p>
    <w:p>
      <w:pPr>
        <w:jc w:val="center"/>
      </w:pPr>
      <w:r>
        <w:drawing>
          <wp:inline distT="0" distB="0" distL="0" distR="0">
            <wp:extent cx="72390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239000" cy="6096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Forest plot — disaggregated Asian/NHPI subgroups</w:t>
      </w:r>
    </w:p>
    <w:p>
      <w:pPr>
        <w:jc w:val="center"/>
      </w:pPr>
      <w:r>
        <w:drawing>
          <wp:inline distT="0" distB="0" distL="0" distR="0">
            <wp:extent cx="8572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0" cy="6096000"/>
                    </a:xfrm>
                    <a:prstGeom prst="rect">
                      <a:avLst/>
                    </a:prstGeom>
                  </pic:spPr>
                </pic:pic>
              </a:graphicData>
            </a:graphic>
          </wp:inline>
        </w:drawing>
      </w:r>
    </w:p>
    <w:p>
      <w:pPr>
        <w:spacing w:after="80"/>
      </w:pPr>
    </w:p>
    <w:p>
      <w:pPr>
        <w:pStyle w:val="Heading1"/>
        <w:spacing w:after="100" w:before="200"/>
      </w:pPr>
      <w:r>
        <w:rPr>
          <w:rFonts w:ascii="Malgun Gothic" w:cs="Malgun Gothic" w:eastAsia="Malgun Gothic" w:hAnsi="Malgun Gothic"/>
          <w:b/>
          <w:bCs/>
          <w:sz w:val="24"/>
          <w:szCs w:val="24"/>
        </w:rPr>
        <w:t xml:space="preserve">Supplementary Figure 3. Forest plot — aggregate groups, Hispanic origin, AI/AN region, MENA</w:t>
      </w:r>
    </w:p>
    <w:p>
      <w:pPr>
        <w:jc w:val="center"/>
      </w:pPr>
      <w:r>
        <w:drawing>
          <wp:inline distT="0" distB="0" distL="0" distR="0">
            <wp:extent cx="85725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572500" cy="5334000"/>
                    </a:xfrm>
                    <a:prstGeom prst="rect">
                      <a:avLst/>
                    </a:prstGeom>
                  </pic:spPr>
                </pic:pic>
              </a:graphicData>
            </a:graphic>
          </wp:inline>
        </w:drawing>
      </w:r>
    </w:p>
    <w:p>
      <w:pPr>
        <w:spacing w:after="80"/>
      </w:pPr>
    </w:p>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799407556ee3aac28cdd7ff9e52590db3041be38.png"/><Relationship Id="rId9" Type="http://schemas.openxmlformats.org/officeDocument/2006/relationships/image" Target="media/609dad81c30f2ada3a43c8d474971a1eee402d6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2026-08-15T02:41:18.788Z</dcterms:created>
  <dcterms:modified xsi:type="dcterms:W3CDTF">2026-08-15T02:41:18.788Z</dcterms:modified>
</cp:coreProperties>
</file>

<file path=docProps/custom.xml><?xml version="1.0" encoding="utf-8"?>
<Properties xmlns="http://schemas.openxmlformats.org/officeDocument/2006/custom-properties" xmlns:vt="http://schemas.openxmlformats.org/officeDocument/2006/docPropsVTypes"/>
</file>