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S1.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S2.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S3.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S4.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S5.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Note S6.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S7.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S8. GRADE certainty of evidence</w:t>
      </w:r>
    </w:p>
    <w:p>
      <w:pPr>
        <w:spacing w:after="80"/>
      </w:pPr>
      <w:r>
        <w:rPr>
          <w:rFonts w:ascii="Malgun Gothic" w:cs="Malgun Gothic" w:eastAsia="Malgun Gothic" w:hAnsi="Malgun Gothic"/>
          <w:i/>
          <w:iCs/>
          <w:sz w:val="18"/>
          <w:szCs w:val="18"/>
        </w:rPr>
        <w:t xml:space="preserve">Observational bodies start Low; downgrade for RoB/inconsistency/imprecision; upgrade for large magnitude (IRR≤0.5 or ≥2.0). AI first pass.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RoB = Newcastle-Ottawa rating of the representative study (Table S7).</w:t>
      </w:r>
    </w:p>
    <w:p>
      <w:pPr>
        <w:spacing w:after="80"/>
      </w:pPr>
      <w:r>
        <w:rPr>
          <w:rFonts w:ascii="Malgun Gothic" w:cs="Malgun Gothic" w:eastAsia="Malgun Gothic" w:hAnsi="Malgun Gothic"/>
          <w:i/>
          <w:iCs/>
          <w:sz w:val="18"/>
          <w:szCs w:val="18"/>
        </w:rPr>
        <w:t xml:space="preserve">+Large = GRADE upgrade for large magnitude of effect: +1 if IRR ≤ 0.50 or ≥ 2.00; +2 if IRR ≤ 0.20 or ≥ 5.00; otherwise 0. (Large effects are less likely to be fully explained by confounding, so the certainty is raised.)</w:t>
      </w:r>
    </w:p>
    <w:p>
      <w:pPr>
        <w:spacing w:after="80"/>
      </w:pPr>
      <w:r>
        <w:rPr>
          <w:rFonts w:ascii="Malgun Gothic" w:cs="Malgun Gothic" w:eastAsia="Malgun Gothic" w:hAnsi="Malgun Gothic"/>
          <w:i/>
          <w:iCs/>
          <w:sz w:val="18"/>
          <w:szCs w:val="18"/>
        </w:rPr>
        <w:t xml:space="preserve">GRADE = final certainty. Observational bodies of evidence start at Low and are downgraded for risk of bias (representative rated Poor), inconsistency (direction disagreement among overlapping estimates — the registry-overlap I² is not counted here), or imprecision (no confidence interval / interval crossing 1 for a near-null estimate), then upgraded by +Large. Indirectness and publication bias were judged not serious (U.S. population-based registries; census-like case ascertainment). Final: Very low ≤ 0, Low 1–2, Moderate 3, High ≥ 4.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S9.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S10.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Figure S11.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S12.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2026-08-14T10:09:18.976Z</dcterms:created>
  <dcterms:modified xsi:type="dcterms:W3CDTF">2026-08-14T10:09:18.977Z</dcterms:modified>
</cp:coreProperties>
</file>

<file path=docProps/custom.xml><?xml version="1.0" encoding="utf-8"?>
<Properties xmlns="http://schemas.openxmlformats.org/officeDocument/2006/custom-properties" xmlns:vt="http://schemas.openxmlformats.org/officeDocument/2006/docPropsVTypes"/>
</file>