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pPr>
      <w:r>
        <w:rPr>
          <w:rFonts w:ascii="Malgun Gothic" w:cs="Malgun Gothic" w:eastAsia="Malgun Gothic" w:hAnsi="Malgun Gothic"/>
          <w:b/>
          <w:bCs/>
          <w:sz w:val="34"/>
          <w:szCs w:val="34"/>
        </w:rPr>
        <w:t xml:space="preserve">Supplementary Materials</w:t>
      </w:r>
    </w:p>
    <w:p>
      <w:pPr>
        <w:spacing w:after="200"/>
      </w:pPr>
      <w:r>
        <w:rPr>
          <w:rFonts w:ascii="Malgun Gothic" w:cs="Malgun Gothic" w:eastAsia="Malgun Gothic" w:hAnsi="Malgun Gothic"/>
          <w:i/>
          <w:iCs/>
          <w:sz w:val="20"/>
          <w:szCs w:val="20"/>
        </w:rPr>
        <w:t xml:space="preserve">Racial and Ethnic Differences in Breast Cancer Incidence in the United States: A Systematic Review and Meta-Analysis</w:t>
      </w:r>
    </w:p>
    <w:p>
      <w:pPr>
        <w:pStyle w:val="Heading1"/>
        <w:spacing w:after="100" w:before="200"/>
      </w:pPr>
      <w:r>
        <w:rPr>
          <w:rFonts w:ascii="Malgun Gothic" w:cs="Malgun Gothic" w:eastAsia="Malgun Gothic" w:hAnsi="Malgun Gothic"/>
          <w:b/>
          <w:bCs/>
          <w:sz w:val="24"/>
          <w:szCs w:val="24"/>
        </w:rPr>
        <w:t xml:space="preserve">Abbreviations</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2829"/>
        <w:gridCol w:w="11571"/>
      </w:tblGrid>
      <w:tr>
        <w:trPr>
          <w:tblHeader/>
        </w:trPr>
        <w:tc>
          <w:tcPr>
            <w:tcW w:type="dxa" w:w="2829"/>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Abbreviation</w:t>
            </w:r>
          </w:p>
        </w:tc>
        <w:tc>
          <w:tcPr>
            <w:tcW w:type="dxa" w:w="11571"/>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Definition</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ANTR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CI</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confidence interval</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DL</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DerSimonian-Laird (random-effects τ² estimator)</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GRADE</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Grading of Recommendations, Assessment, Development and Evaluations</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HER2</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human epidermal growth factor receptor 2</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HKSJ</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Hartung-Knapp-Sidik-Jonkman (confidence-interval method)</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hormone receptor</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I²</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I-squared (proportion of variation due to between-study heterogeneity)</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Indian Health Service</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rate ratio</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MENA</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 and North African</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North American Association of Central Cancer Registries</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NHB</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NHPI</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 and Pacific Islander</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NHW</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NOS</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Newcastle-Ottawa Scale</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National Program of Cancer Registries</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Paule-Mandel (random-effects τ² estimator, REML-equivalent)</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PRCDA</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Purchased/Referred Care Delivery Area (IHS)</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PRISMA</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Preferred Reporting Items for Systematic Reviews and Meta-Analyses</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Q</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Cochran's Q (heterogeneity test statistic)</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REML</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restricted maximum likelihood</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RoB</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risk of bias</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Surveillance, Epidemiology, and End Results Program</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SIR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standardized incidence ratio</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triple-negative breast cancer</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United States Cancer Statistics (NPCR + SEER)</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τ²</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tau-squared (between-study variance)</w:t>
            </w:r>
          </w:p>
        </w:tc>
      </w:tr>
    </w:tbl>
    <w:p>
      <w:pPr>
        <w:spacing w:after="80"/>
      </w:pPr>
    </w:p>
    <w:p>
      <w:r>
        <w:br w:type="page"/>
      </w:r>
    </w:p>
    <w:p>
      <w:pPr>
        <w:pStyle w:val="Heading1"/>
        <w:spacing w:after="100" w:before="200"/>
      </w:pPr>
      <w:r>
        <w:rPr>
          <w:rFonts w:ascii="Malgun Gothic" w:cs="Malgun Gothic" w:eastAsia="Malgun Gothic" w:hAnsi="Malgun Gothic"/>
          <w:b/>
          <w:bCs/>
          <w:sz w:val="24"/>
          <w:szCs w:val="24"/>
        </w:rPr>
        <w:t xml:space="preserve">Supplementary Table 1. Final search strategy for each database</w:t>
      </w:r>
    </w:p>
    <w:p>
      <w:pPr>
        <w:spacing w:after="80"/>
      </w:pPr>
      <w:r>
        <w:rPr>
          <w:rFonts w:ascii="Malgun Gothic" w:cs="Malgun Gothic" w:eastAsia="Malgun Gothic" w:hAnsi="Malgun Gothic"/>
          <w:i/>
          <w:iCs/>
          <w:sz w:val="18"/>
          <w:szCs w:val="18"/>
        </w:rPr>
        <w:t xml:space="preserve">Search conducted 7 August 2026. Concept blocks combined with AND: breast cancer × race/ethnicity × incidence/age-adjusted rate × United States. Limits: 2000–2026, English, human; document-type exclusions.</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1700"/>
        <w:gridCol w:w="2000"/>
        <w:gridCol w:w="1200"/>
        <w:gridCol w:w="1000"/>
        <w:gridCol w:w="8500"/>
      </w:tblGrid>
      <w:tr>
        <w:trPr>
          <w:tblHeader/>
        </w:trPr>
        <w:tc>
          <w:tcPr>
            <w:tcW w:type="dxa" w:w="170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Database</w:t>
            </w:r>
          </w:p>
        </w:tc>
        <w:tc>
          <w:tcPr>
            <w:tcW w:type="dxa" w:w="200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Platform</w:t>
            </w:r>
          </w:p>
        </w:tc>
        <w:tc>
          <w:tcPr>
            <w:tcW w:type="dxa" w:w="120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Date</w:t>
            </w:r>
          </w:p>
        </w:tc>
        <w:tc>
          <w:tcPr>
            <w:tcW w:type="dxa" w:w="100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Records</w:t>
            </w:r>
          </w:p>
        </w:tc>
        <w:tc>
          <w:tcPr>
            <w:tcW w:type="dxa" w:w="850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Search string</w:t>
            </w:r>
          </w:p>
        </w:tc>
      </w:tr>
      <w:tr>
        <w:tc>
          <w:tcPr>
            <w:tcW w:type="dxa" w:w="17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PubMed/MEDLINE</w:t>
            </w:r>
          </w:p>
        </w:tc>
        <w:tc>
          <w:tcPr>
            <w:tcW w:type="dxa" w:w="2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PubMed</w:t>
            </w:r>
          </w:p>
        </w:tc>
        <w:tc>
          <w:tcPr>
            <w:tcW w:type="dxa" w:w="12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2026-08-07</w:t>
            </w:r>
          </w:p>
        </w:tc>
        <w:tc>
          <w:tcPr>
            <w:tcW w:type="dxa" w:w="1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1,331</w:t>
            </w:r>
          </w:p>
        </w:tc>
        <w:tc>
          <w:tcPr>
            <w:tcW w:type="dxa" w:w="8500"/>
            <w:tcMar>
              <w:top w:type="dxa" w:w="25"/>
              <w:left w:type="dxa" w:w="70"/>
              <w:bottom w:type="dxa" w:w="25"/>
              <w:right w:type="dxa" w:w="70"/>
            </w:tcMar>
          </w:tcPr>
          <w:p>
            <w:pPr>
              <w:spacing w:after="0" w:line="180"/>
            </w:pPr>
            <w:r>
              <w:rPr>
                <w:rFonts w:ascii="Consolas" w:cs="Consolas" w:eastAsia="Consolas" w:hAnsi="Consolas"/>
                <w:sz w:val="12"/>
                <w:szCs w:val="12"/>
              </w:rPr>
              <w:t xml:space="preserve">("Breast Neoplasms"[Mesh] OR "breast cancer"[tiab] OR "breast carcinoma"[tiab] OR "breast neoplasm*"[tiab])</w:t>
            </w:r>
          </w:p>
          <w:p>
            <w:pPr>
              <w:spacing w:after="0" w:line="180"/>
            </w:pPr>
            <w:r>
              <w:rPr>
                <w:rFonts w:ascii="Consolas" w:cs="Consolas" w:eastAsia="Consolas" w:hAnsi="Consolas"/>
                <w:sz w:val="12"/>
                <w:szCs w:val="12"/>
              </w:rPr>
              <w:t xml:space="preserve">AND (race[tiab] OR racial[tiab] OR ethnic*[tiab] OR minorit*[tiab] OR disparit*[tiab]</w:t>
            </w:r>
          </w:p>
          <w:p>
            <w:pPr>
              <w:spacing w:after="0" w:line="180"/>
            </w:pPr>
            <w:r>
              <w:rPr>
                <w:rFonts w:ascii="Consolas" w:cs="Consolas" w:eastAsia="Consolas" w:hAnsi="Consolas"/>
                <w:sz w:val="12"/>
                <w:szCs w:val="12"/>
              </w:rPr>
              <w:t xml:space="preserve">     OR Black[tiab] OR Hispanic[tiab] OR Latin*[tiab] OR White[tiab] OR Asian[tiab]</w:t>
            </w:r>
          </w:p>
          <w:p>
            <w:pPr>
              <w:spacing w:after="0" w:line="180"/>
            </w:pPr>
            <w:r>
              <w:rPr>
                <w:rFonts w:ascii="Consolas" w:cs="Consolas" w:eastAsia="Consolas" w:hAnsi="Consolas"/>
                <w:sz w:val="12"/>
                <w:szCs w:val="12"/>
              </w:rPr>
              <w:t xml:space="preserve">     OR "African American"[tiab] OR "American Indian*"[tiab] OR "Alaska Nativ*"[tiab]</w:t>
            </w:r>
          </w:p>
          <w:p>
            <w:pPr>
              <w:spacing w:after="0" w:line="180"/>
            </w:pPr>
            <w:r>
              <w:rPr>
                <w:rFonts w:ascii="Consolas" w:cs="Consolas" w:eastAsia="Consolas" w:hAnsi="Consolas"/>
                <w:sz w:val="12"/>
                <w:szCs w:val="12"/>
              </w:rPr>
              <w:t xml:space="preserve">     OR "Native American*"[tiab] OR indigenous[tiab] OR "Pacific Islander*"[tiab]</w:t>
            </w:r>
          </w:p>
          <w:p>
            <w:pPr>
              <w:spacing w:after="0" w:line="180"/>
            </w:pPr>
            <w:r>
              <w:rPr>
                <w:rFonts w:ascii="Consolas" w:cs="Consolas" w:eastAsia="Consolas" w:hAnsi="Consolas"/>
                <w:sz w:val="12"/>
                <w:szCs w:val="12"/>
              </w:rPr>
              <w:t xml:space="preserve">     OR "Native Hawaiian*"[tiab] OR "South Asian*"[tiab] OR "Asian American*"[tiab]</w:t>
            </w:r>
          </w:p>
          <w:p>
            <w:pPr>
              <w:spacing w:after="0" w:line="180"/>
            </w:pPr>
            <w:r>
              <w:rPr>
                <w:rFonts w:ascii="Consolas" w:cs="Consolas" w:eastAsia="Consolas" w:hAnsi="Consolas"/>
                <w:sz w:val="12"/>
                <w:szCs w:val="12"/>
              </w:rPr>
              <w:t xml:space="preserve">     OR Chinese[tiab] OR Japanese[tiab] OR Korean[tiab] OR Filipin*[tiab] OR Vietnamese[tiab]</w:t>
            </w:r>
          </w:p>
          <w:p>
            <w:pPr>
              <w:spacing w:after="0" w:line="180"/>
            </w:pPr>
            <w:r>
              <w:rPr>
                <w:rFonts w:ascii="Consolas" w:cs="Consolas" w:eastAsia="Consolas" w:hAnsi="Consolas"/>
                <w:sz w:val="12"/>
                <w:szCs w:val="12"/>
              </w:rPr>
              <w:t xml:space="preserve">     OR "Asian Indian*"[tiab]</w:t>
            </w:r>
          </w:p>
          <w:p>
            <w:pPr>
              <w:spacing w:after="0" w:line="180"/>
            </w:pPr>
            <w:r>
              <w:rPr>
                <w:rFonts w:ascii="Consolas" w:cs="Consolas" w:eastAsia="Consolas" w:hAnsi="Consolas"/>
                <w:sz w:val="12"/>
                <w:szCs w:val="12"/>
              </w:rPr>
              <w:t xml:space="preserve">     OR "Ethnicity"[Mesh] OR "Minority Groups"[Mesh] OR "Health Status Disparities"[Mesh]</w:t>
            </w:r>
          </w:p>
          <w:p>
            <w:pPr>
              <w:spacing w:after="0" w:line="180"/>
            </w:pPr>
            <w:r>
              <w:rPr>
                <w:rFonts w:ascii="Consolas" w:cs="Consolas" w:eastAsia="Consolas" w:hAnsi="Consolas"/>
                <w:sz w:val="12"/>
                <w:szCs w:val="12"/>
              </w:rPr>
              <w:t xml:space="preserve">     OR "Black or African American"[Mesh] OR "Hispanic or Latino"[Mesh]</w:t>
            </w:r>
          </w:p>
          <w:p>
            <w:pPr>
              <w:spacing w:after="0" w:line="180"/>
            </w:pPr>
            <w:r>
              <w:rPr>
                <w:rFonts w:ascii="Consolas" w:cs="Consolas" w:eastAsia="Consolas" w:hAnsi="Consolas"/>
                <w:sz w:val="12"/>
                <w:szCs w:val="12"/>
              </w:rPr>
              <w:t xml:space="preserve">     OR "American Indian or Alaska Native"[Mesh] OR "Asian"[Mesh])</w:t>
            </w:r>
          </w:p>
          <w:p>
            <w:pPr>
              <w:spacing w:after="0" w:line="180"/>
            </w:pPr>
            <w:r>
              <w:rPr>
                <w:rFonts w:ascii="Consolas" w:cs="Consolas" w:eastAsia="Consolas" w:hAnsi="Consolas"/>
                <w:sz w:val="12"/>
                <w:szCs w:val="12"/>
              </w:rPr>
              <w:t xml:space="preserve">AND (incidence[tiab] OR "incidence rate*"[tiab] OR "age-adjusted"[tiab]</w:t>
            </w:r>
          </w:p>
          <w:p>
            <w:pPr>
              <w:spacing w:after="0" w:line="180"/>
            </w:pPr>
            <w:r>
              <w:rPr>
                <w:rFonts w:ascii="Consolas" w:cs="Consolas" w:eastAsia="Consolas" w:hAnsi="Consolas"/>
                <w:sz w:val="12"/>
                <w:szCs w:val="12"/>
              </w:rPr>
              <w:t xml:space="preserve">     OR "age-standardized"[tiab] OR "age-standardised"[tiab] OR "Incidence"[Mesh])</w:t>
            </w:r>
          </w:p>
          <w:p>
            <w:pPr>
              <w:spacing w:after="0" w:line="180"/>
            </w:pPr>
            <w:r>
              <w:rPr>
                <w:rFonts w:ascii="Consolas" w:cs="Consolas" w:eastAsia="Consolas" w:hAnsi="Consolas"/>
                <w:sz w:val="12"/>
                <w:szCs w:val="12"/>
              </w:rPr>
              <w:t xml:space="preserve">AND ("United States"[tiab] OR USA[tiab] OR America*[tiab] OR SEER[tiab] OR NAACCR[tiab]</w:t>
            </w:r>
          </w:p>
          <w:p>
            <w:pPr>
              <w:spacing w:after="0" w:line="180"/>
            </w:pPr>
            <w:r>
              <w:rPr>
                <w:rFonts w:ascii="Consolas" w:cs="Consolas" w:eastAsia="Consolas" w:hAnsi="Consolas"/>
                <w:sz w:val="12"/>
                <w:szCs w:val="12"/>
              </w:rPr>
              <w:t xml:space="preserve">     OR USCS[tiab] OR "United States Cancer Statistics"[tiab]</w:t>
            </w:r>
          </w:p>
          <w:p>
            <w:pPr>
              <w:spacing w:after="0" w:line="180"/>
            </w:pPr>
            <w:r>
              <w:rPr>
                <w:rFonts w:ascii="Consolas" w:cs="Consolas" w:eastAsia="Consolas" w:hAnsi="Consolas"/>
                <w:sz w:val="12"/>
                <w:szCs w:val="12"/>
              </w:rPr>
              <w:t xml:space="preserve">     OR "United States"[Mesh] OR "SEER Program"[Mesh]</w:t>
            </w:r>
          </w:p>
          <w:p>
            <w:pPr>
              <w:spacing w:after="0" w:line="180"/>
            </w:pPr>
            <w:r>
              <w:rPr>
                <w:rFonts w:ascii="Consolas" w:cs="Consolas" w:eastAsia="Consolas" w:hAnsi="Consolas"/>
                <w:sz w:val="12"/>
                <w:szCs w:val="12"/>
              </w:rPr>
              <w:t xml:space="preserve">     OR Connecticut[tiab] OR Iowa[tiab] OR "New Mexico"[tiab] OR Utah[tiab] OR Hawaii[tiab]</w:t>
            </w:r>
          </w:p>
          <w:p>
            <w:pPr>
              <w:spacing w:after="0" w:line="180"/>
            </w:pPr>
            <w:r>
              <w:rPr>
                <w:rFonts w:ascii="Consolas" w:cs="Consolas" w:eastAsia="Consolas" w:hAnsi="Consolas"/>
                <w:sz w:val="12"/>
                <w:szCs w:val="12"/>
              </w:rPr>
              <w:t xml:space="preserve">     OR Georgia[tiab] OR Michigan[tiab] OR Washington[tiab] OR California[tiab]</w:t>
            </w:r>
          </w:p>
          <w:p>
            <w:pPr>
              <w:spacing w:after="0" w:line="180"/>
            </w:pPr>
            <w:r>
              <w:rPr>
                <w:rFonts w:ascii="Consolas" w:cs="Consolas" w:eastAsia="Consolas" w:hAnsi="Consolas"/>
                <w:sz w:val="12"/>
                <w:szCs w:val="12"/>
              </w:rPr>
              <w:t xml:space="preserve">     OR Kentucky[tiab] OR Louisiana[tiab] OR "New Jersey"[tiab])</w:t>
            </w:r>
          </w:p>
          <w:p>
            <w:pPr>
              <w:spacing w:after="0" w:line="180"/>
            </w:pPr>
            <w:r>
              <w:rPr>
                <w:rFonts w:ascii="Consolas" w:cs="Consolas" w:eastAsia="Consolas" w:hAnsi="Consolas"/>
                <w:sz w:val="12"/>
                <w:szCs w:val="12"/>
              </w:rPr>
              <w:t xml:space="preserve">AND (2000:2026[dp]) AND English[lang] AND humans[MeSH]</w:t>
            </w:r>
          </w:p>
          <w:p>
            <w:pPr>
              <w:spacing w:after="0" w:line="180"/>
            </w:pPr>
            <w:r>
              <w:rPr>
                <w:rFonts w:ascii="Consolas" w:cs="Consolas" w:eastAsia="Consolas" w:hAnsi="Consolas"/>
                <w:sz w:val="12"/>
                <w:szCs w:val="12"/>
              </w:rPr>
              <w:t xml:space="preserve">NOT (review[pt] OR "case reports"[pt] OR editorial[pt] OR comment[pt] OR letter[pt] OR "news"[pt])</w:t>
            </w:r>
          </w:p>
        </w:tc>
      </w:tr>
      <w:tr>
        <w:tc>
          <w:tcPr>
            <w:tcW w:type="dxa" w:w="17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Embase</w:t>
            </w:r>
          </w:p>
        </w:tc>
        <w:tc>
          <w:tcPr>
            <w:tcW w:type="dxa" w:w="2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embase.com (Advanced Search)</w:t>
            </w:r>
          </w:p>
        </w:tc>
        <w:tc>
          <w:tcPr>
            <w:tcW w:type="dxa" w:w="12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2026-08-07</w:t>
            </w:r>
          </w:p>
        </w:tc>
        <w:tc>
          <w:tcPr>
            <w:tcW w:type="dxa" w:w="1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3,248</w:t>
            </w:r>
          </w:p>
        </w:tc>
        <w:tc>
          <w:tcPr>
            <w:tcW w:type="dxa" w:w="8500"/>
            <w:tcMar>
              <w:top w:type="dxa" w:w="25"/>
              <w:left w:type="dxa" w:w="70"/>
              <w:bottom w:type="dxa" w:w="25"/>
              <w:right w:type="dxa" w:w="70"/>
            </w:tcMar>
          </w:tcPr>
          <w:p>
            <w:pPr>
              <w:spacing w:after="0" w:line="180"/>
            </w:pPr>
            <w:r>
              <w:rPr>
                <w:rFonts w:ascii="Consolas" w:cs="Consolas" w:eastAsia="Consolas" w:hAnsi="Consolas"/>
                <w:sz w:val="12"/>
                <w:szCs w:val="12"/>
              </w:rPr>
              <w:t xml:space="preserve">('breast cancer'/exp OR 'breast cancer' OR 'breast cancer':ti,ab OR 'breast carcinoma':ti,ab OR 'breast neoplasm':ti,ab)</w:t>
            </w:r>
          </w:p>
          <w:p>
            <w:pPr>
              <w:spacing w:after="0" w:line="180"/>
            </w:pPr>
            <w:r>
              <w:rPr>
                <w:rFonts w:ascii="Consolas" w:cs="Consolas" w:eastAsia="Consolas" w:hAnsi="Consolas"/>
                <w:sz w:val="12"/>
                <w:szCs w:val="12"/>
              </w:rPr>
              <w:t xml:space="preserve">AND (race:ti,ab OR racial:ti,ab OR ethnic*:ti,ab OR minorit*:ti,ab OR disparit*:ti,ab</w:t>
            </w:r>
          </w:p>
          <w:p>
            <w:pPr>
              <w:spacing w:after="0" w:line="180"/>
            </w:pPr>
            <w:r>
              <w:rPr>
                <w:rFonts w:ascii="Consolas" w:cs="Consolas" w:eastAsia="Consolas" w:hAnsi="Consolas"/>
                <w:sz w:val="12"/>
                <w:szCs w:val="12"/>
              </w:rPr>
              <w:t xml:space="preserve">     OR black:ti,ab OR hispanic:ti,ab OR latin*:ti,ab OR white:ti,ab OR asian:ti,ab</w:t>
            </w:r>
          </w:p>
          <w:p>
            <w:pPr>
              <w:spacing w:after="0" w:line="180"/>
            </w:pPr>
            <w:r>
              <w:rPr>
                <w:rFonts w:ascii="Consolas" w:cs="Consolas" w:eastAsia="Consolas" w:hAnsi="Consolas"/>
                <w:sz w:val="12"/>
                <w:szCs w:val="12"/>
              </w:rPr>
              <w:t xml:space="preserve">     OR 'african american':ti,ab OR 'american indian*':ti,ab OR 'alaska nativ*':ti,ab</w:t>
            </w:r>
          </w:p>
          <w:p>
            <w:pPr>
              <w:spacing w:after="0" w:line="180"/>
            </w:pPr>
            <w:r>
              <w:rPr>
                <w:rFonts w:ascii="Consolas" w:cs="Consolas" w:eastAsia="Consolas" w:hAnsi="Consolas"/>
                <w:sz w:val="12"/>
                <w:szCs w:val="12"/>
              </w:rPr>
              <w:t xml:space="preserve">     OR 'native american*':ti,ab OR indigenous:ti,ab OR 'pacific islander*':ti,ab</w:t>
            </w:r>
          </w:p>
          <w:p>
            <w:pPr>
              <w:spacing w:after="0" w:line="180"/>
            </w:pPr>
            <w:r>
              <w:rPr>
                <w:rFonts w:ascii="Consolas" w:cs="Consolas" w:eastAsia="Consolas" w:hAnsi="Consolas"/>
                <w:sz w:val="12"/>
                <w:szCs w:val="12"/>
              </w:rPr>
              <w:t xml:space="preserve">     OR 'native hawaiian*':ti,ab OR 'south asian*':ti,ab OR 'asian american*':ti,ab</w:t>
            </w:r>
          </w:p>
          <w:p>
            <w:pPr>
              <w:spacing w:after="0" w:line="180"/>
            </w:pPr>
            <w:r>
              <w:rPr>
                <w:rFonts w:ascii="Consolas" w:cs="Consolas" w:eastAsia="Consolas" w:hAnsi="Consolas"/>
                <w:sz w:val="12"/>
                <w:szCs w:val="12"/>
              </w:rPr>
              <w:t xml:space="preserve">     OR chinese:ti,ab OR japanese:ti,ab OR korean:ti,ab OR filipin*:ti,ab OR vietnamese:ti,ab</w:t>
            </w:r>
          </w:p>
          <w:p>
            <w:pPr>
              <w:spacing w:after="0" w:line="180"/>
            </w:pPr>
            <w:r>
              <w:rPr>
                <w:rFonts w:ascii="Consolas" w:cs="Consolas" w:eastAsia="Consolas" w:hAnsi="Consolas"/>
                <w:sz w:val="12"/>
                <w:szCs w:val="12"/>
              </w:rPr>
              <w:t xml:space="preserve">     OR 'asian indian*':ti,ab</w:t>
            </w:r>
          </w:p>
          <w:p>
            <w:pPr>
              <w:spacing w:after="0" w:line="180"/>
            </w:pPr>
            <w:r>
              <w:rPr>
                <w:rFonts w:ascii="Consolas" w:cs="Consolas" w:eastAsia="Consolas" w:hAnsi="Consolas"/>
                <w:sz w:val="12"/>
                <w:szCs w:val="12"/>
              </w:rPr>
              <w:t xml:space="preserve">     OR 'ethnic group'/exp OR 'ethnic group' OR 'race'/exp OR 'race'</w:t>
            </w:r>
          </w:p>
          <w:p>
            <w:pPr>
              <w:spacing w:after="0" w:line="180"/>
            </w:pPr>
            <w:r>
              <w:rPr>
                <w:rFonts w:ascii="Consolas" w:cs="Consolas" w:eastAsia="Consolas" w:hAnsi="Consolas"/>
                <w:sz w:val="12"/>
                <w:szCs w:val="12"/>
              </w:rPr>
              <w:t xml:space="preserve">     OR 'health disparity'/exp OR 'health disparity'</w:t>
            </w:r>
          </w:p>
          <w:p>
            <w:pPr>
              <w:spacing w:after="0" w:line="180"/>
            </w:pPr>
            <w:r>
              <w:rPr>
                <w:rFonts w:ascii="Consolas" w:cs="Consolas" w:eastAsia="Consolas" w:hAnsi="Consolas"/>
                <w:sz w:val="12"/>
                <w:szCs w:val="12"/>
              </w:rPr>
              <w:t xml:space="preserve">     OR 'american indian'/exp OR 'american indian' OR 'hispanic'/exp OR 'hispanic'</w:t>
            </w:r>
          </w:p>
          <w:p>
            <w:pPr>
              <w:spacing w:after="0" w:line="180"/>
            </w:pPr>
            <w:r>
              <w:rPr>
                <w:rFonts w:ascii="Consolas" w:cs="Consolas" w:eastAsia="Consolas" w:hAnsi="Consolas"/>
                <w:sz w:val="12"/>
                <w:szCs w:val="12"/>
              </w:rPr>
              <w:t xml:space="preserve">     OR 'ethnicity'/exp OR 'ethnicity')</w:t>
            </w:r>
          </w:p>
          <w:p>
            <w:pPr>
              <w:spacing w:after="0" w:line="180"/>
            </w:pPr>
            <w:r>
              <w:rPr>
                <w:rFonts w:ascii="Consolas" w:cs="Consolas" w:eastAsia="Consolas" w:hAnsi="Consolas"/>
                <w:sz w:val="12"/>
                <w:szCs w:val="12"/>
              </w:rPr>
              <w:t xml:space="preserve">AND (incidence:ti,ab OR 'incidence rate':ti,ab OR 'age-adjusted':ti,ab</w:t>
            </w:r>
          </w:p>
          <w:p>
            <w:pPr>
              <w:spacing w:after="0" w:line="180"/>
            </w:pPr>
            <w:r>
              <w:rPr>
                <w:rFonts w:ascii="Consolas" w:cs="Consolas" w:eastAsia="Consolas" w:hAnsi="Consolas"/>
                <w:sz w:val="12"/>
                <w:szCs w:val="12"/>
              </w:rPr>
              <w:t xml:space="preserve">     OR 'age-standardized':ti,ab OR 'age standardization')</w:t>
            </w:r>
          </w:p>
          <w:p>
            <w:pPr>
              <w:spacing w:after="0" w:line="180"/>
            </w:pPr>
            <w:r>
              <w:rPr>
                <w:rFonts w:ascii="Consolas" w:cs="Consolas" w:eastAsia="Consolas" w:hAnsi="Consolas"/>
                <w:sz w:val="12"/>
                <w:szCs w:val="12"/>
              </w:rPr>
              <w:t xml:space="preserve">AND ('united states':ti,ab OR usa:ti,ab OR america*:ti,ab OR seer:ti,ab OR naaccr:ti,ab</w:t>
            </w:r>
          </w:p>
          <w:p>
            <w:pPr>
              <w:spacing w:after="0" w:line="180"/>
            </w:pPr>
            <w:r>
              <w:rPr>
                <w:rFonts w:ascii="Consolas" w:cs="Consolas" w:eastAsia="Consolas" w:hAnsi="Consolas"/>
                <w:sz w:val="12"/>
                <w:szCs w:val="12"/>
              </w:rPr>
              <w:t xml:space="preserve">     OR uscs:ti,ab OR 'united states cancer statistics':ti,ab OR 'united states'/exp OR 'united states'</w:t>
            </w:r>
          </w:p>
          <w:p>
            <w:pPr>
              <w:spacing w:after="0" w:line="180"/>
            </w:pPr>
            <w:r>
              <w:rPr>
                <w:rFonts w:ascii="Consolas" w:cs="Consolas" w:eastAsia="Consolas" w:hAnsi="Consolas"/>
                <w:sz w:val="12"/>
                <w:szCs w:val="12"/>
              </w:rPr>
              <w:t xml:space="preserve">     OR connecticut:ti,ab OR iowa:ti,ab OR 'new mexico':ti,ab OR utah:ti,ab OR hawaii:ti,ab</w:t>
            </w:r>
          </w:p>
          <w:p>
            <w:pPr>
              <w:spacing w:after="0" w:line="180"/>
            </w:pPr>
            <w:r>
              <w:rPr>
                <w:rFonts w:ascii="Consolas" w:cs="Consolas" w:eastAsia="Consolas" w:hAnsi="Consolas"/>
                <w:sz w:val="12"/>
                <w:szCs w:val="12"/>
              </w:rPr>
              <w:t xml:space="preserve">     OR georgia:ti,ab OR michigan:ti,ab OR washington:ti,ab OR california:ti,ab</w:t>
            </w:r>
          </w:p>
          <w:p>
            <w:pPr>
              <w:spacing w:after="0" w:line="180"/>
            </w:pPr>
            <w:r>
              <w:rPr>
                <w:rFonts w:ascii="Consolas" w:cs="Consolas" w:eastAsia="Consolas" w:hAnsi="Consolas"/>
                <w:sz w:val="12"/>
                <w:szCs w:val="12"/>
              </w:rPr>
              <w:t xml:space="preserve">     OR kentucky:ti,ab OR louisiana:ti,ab OR 'new jersey':ti,ab)</w:t>
            </w:r>
          </w:p>
          <w:p>
            <w:pPr>
              <w:spacing w:after="0" w:line="180"/>
            </w:pPr>
            <w:r>
              <w:rPr>
                <w:rFonts w:ascii="Consolas" w:cs="Consolas" w:eastAsia="Consolas" w:hAnsi="Consolas"/>
                <w:sz w:val="12"/>
                <w:szCs w:val="12"/>
              </w:rPr>
              <w:t xml:space="preserve">AND [2000-2026]/py AND [english]/lim AND [humans]/lim</w:t>
            </w:r>
          </w:p>
          <w:p>
            <w:pPr>
              <w:spacing w:after="0" w:line="180"/>
            </w:pPr>
            <w:r>
              <w:rPr>
                <w:rFonts w:ascii="Consolas" w:cs="Consolas" w:eastAsia="Consolas" w:hAnsi="Consolas"/>
                <w:sz w:val="12"/>
                <w:szCs w:val="12"/>
              </w:rPr>
              <w:t xml:space="preserve">NOT ('review'/it OR 'case report'/it OR 'editorial'/it OR 'note'/it OR 'conference abstract'/it)</w:t>
            </w:r>
          </w:p>
        </w:tc>
      </w:tr>
      <w:tr>
        <w:tc>
          <w:tcPr>
            <w:tcW w:type="dxa" w:w="17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Scopus</w:t>
            </w:r>
          </w:p>
        </w:tc>
        <w:tc>
          <w:tcPr>
            <w:tcW w:type="dxa" w:w="2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scopus.com (Advanced Search)</w:t>
            </w:r>
          </w:p>
        </w:tc>
        <w:tc>
          <w:tcPr>
            <w:tcW w:type="dxa" w:w="12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2026-08-07</w:t>
            </w:r>
          </w:p>
        </w:tc>
        <w:tc>
          <w:tcPr>
            <w:tcW w:type="dxa" w:w="1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2,438</w:t>
            </w:r>
          </w:p>
        </w:tc>
        <w:tc>
          <w:tcPr>
            <w:tcW w:type="dxa" w:w="8500"/>
            <w:tcMar>
              <w:top w:type="dxa" w:w="25"/>
              <w:left w:type="dxa" w:w="70"/>
              <w:bottom w:type="dxa" w:w="25"/>
              <w:right w:type="dxa" w:w="70"/>
            </w:tcMar>
          </w:tcPr>
          <w:p>
            <w:pPr>
              <w:spacing w:after="0" w:line="180"/>
            </w:pPr>
            <w:r>
              <w:rPr>
                <w:rFonts w:ascii="Consolas" w:cs="Consolas" w:eastAsia="Consolas" w:hAnsi="Consolas"/>
                <w:sz w:val="12"/>
                <w:szCs w:val="12"/>
              </w:rPr>
              <w:t xml:space="preserve">( TITLE-ABS-KEY ( "breast cancer" OR "breast carcinoma" OR "breast neoplasm*" ) )</w:t>
            </w:r>
          </w:p>
          <w:p>
            <w:pPr>
              <w:spacing w:after="0" w:line="180"/>
            </w:pPr>
            <w:r>
              <w:rPr>
                <w:rFonts w:ascii="Consolas" w:cs="Consolas" w:eastAsia="Consolas" w:hAnsi="Consolas"/>
                <w:sz w:val="12"/>
                <w:szCs w:val="12"/>
              </w:rPr>
              <w:t xml:space="preserve">AND ( TITLE-ABS-KEY ( race OR racial OR ethnic* OR minorit* OR disparit*</w:t>
            </w:r>
          </w:p>
          <w:p>
            <w:pPr>
              <w:spacing w:after="0" w:line="180"/>
            </w:pPr>
            <w:r>
              <w:rPr>
                <w:rFonts w:ascii="Consolas" w:cs="Consolas" w:eastAsia="Consolas" w:hAnsi="Consolas"/>
                <w:sz w:val="12"/>
                <w:szCs w:val="12"/>
              </w:rPr>
              <w:t xml:space="preserve">        OR black OR hispanic OR latin* OR white OR asian OR "african american"</w:t>
            </w:r>
          </w:p>
          <w:p>
            <w:pPr>
              <w:spacing w:after="0" w:line="180"/>
            </w:pPr>
            <w:r>
              <w:rPr>
                <w:rFonts w:ascii="Consolas" w:cs="Consolas" w:eastAsia="Consolas" w:hAnsi="Consolas"/>
                <w:sz w:val="12"/>
                <w:szCs w:val="12"/>
              </w:rPr>
              <w:t xml:space="preserve">        OR "american indian*" OR "alaska nativ*" OR "native american*" OR indigenous</w:t>
            </w:r>
          </w:p>
          <w:p>
            <w:pPr>
              <w:spacing w:after="0" w:line="180"/>
            </w:pPr>
            <w:r>
              <w:rPr>
                <w:rFonts w:ascii="Consolas" w:cs="Consolas" w:eastAsia="Consolas" w:hAnsi="Consolas"/>
                <w:sz w:val="12"/>
                <w:szCs w:val="12"/>
              </w:rPr>
              <w:t xml:space="preserve">        OR "pacific islander*" OR "native hawaiian*" OR "south asian*" OR "asian american*"</w:t>
            </w:r>
          </w:p>
          <w:p>
            <w:pPr>
              <w:spacing w:after="0" w:line="180"/>
            </w:pPr>
            <w:r>
              <w:rPr>
                <w:rFonts w:ascii="Consolas" w:cs="Consolas" w:eastAsia="Consolas" w:hAnsi="Consolas"/>
                <w:sz w:val="12"/>
                <w:szCs w:val="12"/>
              </w:rPr>
              <w:t xml:space="preserve">        OR chinese OR japanese OR korean OR filipin* OR vietnamese OR "asian indian*" ) )</w:t>
            </w:r>
          </w:p>
          <w:p>
            <w:pPr>
              <w:spacing w:after="0" w:line="180"/>
            </w:pPr>
            <w:r>
              <w:rPr>
                <w:rFonts w:ascii="Consolas" w:cs="Consolas" w:eastAsia="Consolas" w:hAnsi="Consolas"/>
                <w:sz w:val="12"/>
                <w:szCs w:val="12"/>
              </w:rPr>
              <w:t xml:space="preserve">AND ( TITLE-ABS-KEY ( incidence OR "incidence rate*" OR "age-adjusted"</w:t>
            </w:r>
          </w:p>
          <w:p>
            <w:pPr>
              <w:spacing w:after="0" w:line="180"/>
            </w:pPr>
            <w:r>
              <w:rPr>
                <w:rFonts w:ascii="Consolas" w:cs="Consolas" w:eastAsia="Consolas" w:hAnsi="Consolas"/>
                <w:sz w:val="12"/>
                <w:szCs w:val="12"/>
              </w:rPr>
              <w:t xml:space="preserve">        OR "age-standardized" OR "age standardi*ation" ) )</w:t>
            </w:r>
          </w:p>
          <w:p>
            <w:pPr>
              <w:spacing w:after="0" w:line="180"/>
            </w:pPr>
            <w:r>
              <w:rPr>
                <w:rFonts w:ascii="Consolas" w:cs="Consolas" w:eastAsia="Consolas" w:hAnsi="Consolas"/>
                <w:sz w:val="12"/>
                <w:szCs w:val="12"/>
              </w:rPr>
              <w:t xml:space="preserve">AND ( TITLE-ABS-KEY ( "United States" OR USA OR America* OR SEER OR NAACCR OR USCS</w:t>
            </w:r>
          </w:p>
          <w:p>
            <w:pPr>
              <w:spacing w:after="0" w:line="180"/>
            </w:pPr>
            <w:r>
              <w:rPr>
                <w:rFonts w:ascii="Consolas" w:cs="Consolas" w:eastAsia="Consolas" w:hAnsi="Consolas"/>
                <w:sz w:val="12"/>
                <w:szCs w:val="12"/>
              </w:rPr>
              <w:t xml:space="preserve">        OR "United States Cancer Statistics"</w:t>
            </w:r>
          </w:p>
          <w:p>
            <w:pPr>
              <w:spacing w:after="0" w:line="180"/>
            </w:pPr>
            <w:r>
              <w:rPr>
                <w:rFonts w:ascii="Consolas" w:cs="Consolas" w:eastAsia="Consolas" w:hAnsi="Consolas"/>
                <w:sz w:val="12"/>
                <w:szCs w:val="12"/>
              </w:rPr>
              <w:t xml:space="preserve">        OR Connecticut OR Iowa OR "New Mexico" OR Utah OR Hawaii</w:t>
            </w:r>
          </w:p>
          <w:p>
            <w:pPr>
              <w:spacing w:after="0" w:line="180"/>
            </w:pPr>
            <w:r>
              <w:rPr>
                <w:rFonts w:ascii="Consolas" w:cs="Consolas" w:eastAsia="Consolas" w:hAnsi="Consolas"/>
                <w:sz w:val="12"/>
                <w:szCs w:val="12"/>
              </w:rPr>
              <w:t xml:space="preserve">        OR Georgia OR Michigan OR Washington OR California OR Kentucky OR Louisiana OR "New Jersey" ) )</w:t>
            </w:r>
          </w:p>
          <w:p>
            <w:pPr>
              <w:spacing w:after="0" w:line="180"/>
            </w:pPr>
            <w:r>
              <w:rPr>
                <w:rFonts w:ascii="Consolas" w:cs="Consolas" w:eastAsia="Consolas" w:hAnsi="Consolas"/>
                <w:sz w:val="12"/>
                <w:szCs w:val="12"/>
              </w:rPr>
              <w:t xml:space="preserve">AND PUBYEAR &gt; 1999 AND PUBYEAR &lt; 2027</w:t>
            </w:r>
          </w:p>
          <w:p>
            <w:pPr>
              <w:spacing w:after="0" w:line="180"/>
            </w:pPr>
            <w:r>
              <w:rPr>
                <w:rFonts w:ascii="Consolas" w:cs="Consolas" w:eastAsia="Consolas" w:hAnsi="Consolas"/>
                <w:sz w:val="12"/>
                <w:szCs w:val="12"/>
              </w:rPr>
              <w:t xml:space="preserve">AND ( LIMIT-TO ( LANGUAGE , "English" ) )</w:t>
            </w:r>
          </w:p>
          <w:p>
            <w:pPr>
              <w:spacing w:after="0" w:line="180"/>
            </w:pPr>
            <w:r>
              <w:rPr>
                <w:rFonts w:ascii="Consolas" w:cs="Consolas" w:eastAsia="Consolas" w:hAnsi="Consolas"/>
                <w:sz w:val="12"/>
                <w:szCs w:val="12"/>
              </w:rPr>
              <w:t xml:space="preserve">AND NOT ( DOCTYPE ( re ) OR DOCTYPE ( le ) OR DOCTYPE ( ed ) OR DOCTYPE ( no ) OR DOCTYPE ( cp ) )</w:t>
            </w:r>
          </w:p>
        </w:tc>
      </w:tr>
      <w:tr>
        <w:tc>
          <w:tcPr>
            <w:tcW w:type="dxa" w:w="17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Web of Science</w:t>
            </w:r>
          </w:p>
        </w:tc>
        <w:tc>
          <w:tcPr>
            <w:tcW w:type="dxa" w:w="2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Web of Science (Advanced)</w:t>
            </w:r>
          </w:p>
        </w:tc>
        <w:tc>
          <w:tcPr>
            <w:tcW w:type="dxa" w:w="12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2026-08-07</w:t>
            </w:r>
          </w:p>
        </w:tc>
        <w:tc>
          <w:tcPr>
            <w:tcW w:type="dxa" w:w="1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2,082</w:t>
            </w:r>
          </w:p>
        </w:tc>
        <w:tc>
          <w:tcPr>
            <w:tcW w:type="dxa" w:w="8500"/>
            <w:tcMar>
              <w:top w:type="dxa" w:w="25"/>
              <w:left w:type="dxa" w:w="70"/>
              <w:bottom w:type="dxa" w:w="25"/>
              <w:right w:type="dxa" w:w="70"/>
            </w:tcMar>
          </w:tcPr>
          <w:p>
            <w:pPr>
              <w:spacing w:after="0" w:line="180"/>
            </w:pPr>
            <w:r>
              <w:rPr>
                <w:rFonts w:ascii="Consolas" w:cs="Consolas" w:eastAsia="Consolas" w:hAnsi="Consolas"/>
                <w:sz w:val="12"/>
                <w:szCs w:val="12"/>
              </w:rPr>
              <w:t xml:space="preserve">TS=("breast cancer" OR "breast carcinoma" OR "breast neoplasm*")</w:t>
            </w:r>
          </w:p>
          <w:p>
            <w:pPr>
              <w:spacing w:after="0" w:line="180"/>
            </w:pPr>
            <w:r>
              <w:rPr>
                <w:rFonts w:ascii="Consolas" w:cs="Consolas" w:eastAsia="Consolas" w:hAnsi="Consolas"/>
                <w:sz w:val="12"/>
                <w:szCs w:val="12"/>
              </w:rPr>
              <w:t xml:space="preserve">AND TS=(race OR racial OR ethnic* OR minorit* OR disparit*</w:t>
            </w:r>
          </w:p>
          <w:p>
            <w:pPr>
              <w:spacing w:after="0" w:line="180"/>
            </w:pPr>
            <w:r>
              <w:rPr>
                <w:rFonts w:ascii="Consolas" w:cs="Consolas" w:eastAsia="Consolas" w:hAnsi="Consolas"/>
                <w:sz w:val="12"/>
                <w:szCs w:val="12"/>
              </w:rPr>
              <w:t xml:space="preserve">        OR Black OR Hispanic OR Latin* OR White OR Asian OR "African American"</w:t>
            </w:r>
          </w:p>
          <w:p>
            <w:pPr>
              <w:spacing w:after="0" w:line="180"/>
            </w:pPr>
            <w:r>
              <w:rPr>
                <w:rFonts w:ascii="Consolas" w:cs="Consolas" w:eastAsia="Consolas" w:hAnsi="Consolas"/>
                <w:sz w:val="12"/>
                <w:szCs w:val="12"/>
              </w:rPr>
              <w:t xml:space="preserve">        OR "American Indian*" OR "Alaska Nativ*" OR "Native American*" OR indigenous</w:t>
            </w:r>
          </w:p>
          <w:p>
            <w:pPr>
              <w:spacing w:after="0" w:line="180"/>
            </w:pPr>
            <w:r>
              <w:rPr>
                <w:rFonts w:ascii="Consolas" w:cs="Consolas" w:eastAsia="Consolas" w:hAnsi="Consolas"/>
                <w:sz w:val="12"/>
                <w:szCs w:val="12"/>
              </w:rPr>
              <w:t xml:space="preserve">        OR "Pacific Islander*" OR "Native Hawaiian*" OR "South Asian*" OR "Asian American*"</w:t>
            </w:r>
          </w:p>
          <w:p>
            <w:pPr>
              <w:spacing w:after="0" w:line="180"/>
            </w:pPr>
            <w:r>
              <w:rPr>
                <w:rFonts w:ascii="Consolas" w:cs="Consolas" w:eastAsia="Consolas" w:hAnsi="Consolas"/>
                <w:sz w:val="12"/>
                <w:szCs w:val="12"/>
              </w:rPr>
              <w:t xml:space="preserve">        OR Chinese OR Japanese OR Korean OR Filipin* OR Vietnamese OR "Asian Indian*")</w:t>
            </w:r>
          </w:p>
          <w:p>
            <w:pPr>
              <w:spacing w:after="0" w:line="180"/>
            </w:pPr>
            <w:r>
              <w:rPr>
                <w:rFonts w:ascii="Consolas" w:cs="Consolas" w:eastAsia="Consolas" w:hAnsi="Consolas"/>
                <w:sz w:val="12"/>
                <w:szCs w:val="12"/>
              </w:rPr>
              <w:t xml:space="preserve">AND TS=(incidence OR "incidence rate*" OR "age-adjusted" OR "age-standardized" OR "age standardi?ation")</w:t>
            </w:r>
          </w:p>
          <w:p>
            <w:pPr>
              <w:spacing w:after="0" w:line="180"/>
            </w:pPr>
            <w:r>
              <w:rPr>
                <w:rFonts w:ascii="Consolas" w:cs="Consolas" w:eastAsia="Consolas" w:hAnsi="Consolas"/>
                <w:sz w:val="12"/>
                <w:szCs w:val="12"/>
              </w:rPr>
              <w:t xml:space="preserve">AND TS=("United States" OR USA OR America* OR SEER OR NAACCR OR USCS OR "United States Cancer Statistics"</w:t>
            </w:r>
          </w:p>
          <w:p>
            <w:pPr>
              <w:spacing w:after="0" w:line="180"/>
            </w:pPr>
            <w:r>
              <w:rPr>
                <w:rFonts w:ascii="Consolas" w:cs="Consolas" w:eastAsia="Consolas" w:hAnsi="Consolas"/>
                <w:sz w:val="12"/>
                <w:szCs w:val="12"/>
              </w:rPr>
              <w:t xml:space="preserve">        OR Connecticut OR Iowa OR "New Mexico" OR Utah OR Hawaii</w:t>
            </w:r>
          </w:p>
          <w:p>
            <w:pPr>
              <w:spacing w:after="0" w:line="180"/>
            </w:pPr>
            <w:r>
              <w:rPr>
                <w:rFonts w:ascii="Consolas" w:cs="Consolas" w:eastAsia="Consolas" w:hAnsi="Consolas"/>
                <w:sz w:val="12"/>
                <w:szCs w:val="12"/>
              </w:rPr>
              <w:t xml:space="preserve">        OR Georgia OR Michigan OR Washington OR California OR Kentucky OR Louisiana OR "New Jersey")</w:t>
            </w:r>
          </w:p>
          <w:p>
            <w:pPr>
              <w:spacing w:after="0" w:line="180"/>
            </w:pPr>
            <w:r>
              <w:rPr>
                <w:rFonts w:ascii="Consolas" w:cs="Consolas" w:eastAsia="Consolas" w:hAnsi="Consolas"/>
                <w:sz w:val="12"/>
                <w:szCs w:val="12"/>
              </w:rPr>
              <w:t xml:space="preserve">AND PY=(2000-2026)</w:t>
            </w:r>
          </w:p>
          <w:p>
            <w:pPr>
              <w:spacing w:after="0" w:line="180"/>
            </w:pPr>
            <w:r>
              <w:rPr>
                <w:rFonts w:ascii="Consolas" w:cs="Consolas" w:eastAsia="Consolas" w:hAnsi="Consolas"/>
                <w:sz w:val="12"/>
                <w:szCs w:val="12"/>
              </w:rPr>
              <w:t xml:space="preserve">AND LA=(English)</w:t>
            </w:r>
          </w:p>
          <w:p>
            <w:pPr>
              <w:spacing w:after="0" w:line="180"/>
            </w:pPr>
            <w:r>
              <w:rPr>
                <w:rFonts w:ascii="Consolas" w:cs="Consolas" w:eastAsia="Consolas" w:hAnsi="Consolas"/>
                <w:sz w:val="12"/>
                <w:szCs w:val="12"/>
              </w:rPr>
              <w:t xml:space="preserve">NOT DT=(Review OR Letter OR Editorial Material OR Note OR Meeting Abstract)</w:t>
            </w:r>
          </w:p>
        </w:tc>
      </w:tr>
    </w:tbl>
    <w:p>
      <w:pPr>
        <w:spacing w:after="80"/>
      </w:pPr>
    </w:p>
    <w:p>
      <w:pPr>
        <w:spacing w:after="80"/>
      </w:pPr>
      <w:r>
        <w:rPr>
          <w:rFonts w:ascii="Malgun Gothic" w:cs="Malgun Gothic" w:eastAsia="Malgun Gothic" w:hAnsi="Malgun Gothic"/>
          <w:i/>
          <w:iCs/>
          <w:sz w:val="18"/>
          <w:szCs w:val="18"/>
        </w:rPr>
        <w:t xml:space="preserve">Total records identified 9,099; duplicate records removed (cross-database) 4,306; unique records screened 4,793.</w:t>
      </w:r>
    </w:p>
    <w:p>
      <w:r>
        <w:br w:type="page"/>
      </w:r>
    </w:p>
    <w:p>
      <w:pPr>
        <w:pStyle w:val="Heading1"/>
        <w:spacing w:after="100" w:before="200"/>
      </w:pPr>
      <w:r>
        <w:rPr>
          <w:rFonts w:ascii="Malgun Gothic" w:cs="Malgun Gothic" w:eastAsia="Malgun Gothic" w:hAnsi="Malgun Gothic"/>
          <w:b/>
          <w:bCs/>
          <w:sz w:val="24"/>
          <w:szCs w:val="24"/>
        </w:rPr>
        <w:t xml:space="preserve">Supplementary Table 2. Characteristics of included studies (n = 163)</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6346"/>
        <w:gridCol w:w="3295"/>
        <w:gridCol w:w="3173"/>
        <w:gridCol w:w="1586"/>
      </w:tblGrid>
      <w:tr>
        <w:trPr>
          <w:tblHeader/>
        </w:trPr>
        <w:tc>
          <w:tcPr>
            <w:tcW w:type="dxa" w:w="6346"/>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Study (author, year)</w:t>
            </w:r>
          </w:p>
        </w:tc>
        <w:tc>
          <w:tcPr>
            <w:tcW w:type="dxa" w:w="3295"/>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Data source</w:t>
            </w:r>
          </w:p>
        </w:tc>
        <w:tc>
          <w:tcPr>
            <w:tcW w:type="dxa" w:w="317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Groups vs NHW</w:t>
            </w:r>
          </w:p>
        </w:tc>
        <w:tc>
          <w:tcPr>
            <w:tcW w:type="dxa" w:w="1586"/>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Synthesis</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2024 (Giaquinto et al., 2024)</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(aggregate)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 incidence of breast cancer subtypes defined by joint hormone receptor and HER2 status (Howlader et al., 2014)</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(28% US)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 white/black/AANHPI/Hispanic subtypes</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Rates in Ghanaian and US Black Women from 2013 Through 2015 (Davis Lynn et al., 2025)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 Black vs NHW (+Ghana non-US)</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the US Hispanic/Latino population, 2021 (Miller et al., 2021)</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(aggregate)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and trends of the incidence and mortality of female-specific cancers in the United States (Zhang et al., 2025)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vs reference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Trends in Older US Women by Race, Ethnicity, Geography, and Stage (Lee Argov et al., 2025)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vs NHW (65+)</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 and ethnic disparities in breast cancer rates by age: NAACCR Breast Cancer Project (Joslyn et al., 2005)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each race vs white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Invasive cancer incidence - United States, 2010. (Henley et al., 2014)</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(aggregate)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Invasive breast cancer among Alaska Native women in Alaska (Nash et al., 2019)</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vs US White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Black-white breast cancer incidence trends: Effects of ethnicity (Davis Lynn et al., 2018)</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13</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NHB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Rate Trends of Breast Cancer Overall and by Molecular Subtype by Race and Ethnicity and Age (Li et al., 2025)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22</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subtype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the Hmong in California, 1988-2000 (Mills et al., 2005)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Hmong vs NHW/AANHPI</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Alaska Native Tumour Registry: fifty years of cancer surveillance data for  Alaska Native people (Nash et al., 2022)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vs USW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among Asian Indian and Pakistani Americans: A surveillance, epidemiology and end results-based study (Satagopan et al., 2021)</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 + NJ + San Jose</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distributions of breast cancer diagnosis and mortality by race and ethnicity in US women (Hendrick et al., 2021)</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21</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minority vs NH-White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breast cancer by race and ethnicity (Ghafoor et al., 2003)</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Colorectal, and Prostate Cancer Incidence among Filipino Americans by Generational Status in the Multiethnic Cohort Study (Abe et al., 2024)</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Multiethnic Cohort</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Filipino by generation</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racial differences before age 40--implications for screening. (Johnson, 2002)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+ 5 state registries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African-American vs white (30-39)</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breast cancer subtypes among women in the lower Mississippi Delta Region states (Zahnd et al., 2019)</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 (7 Delta states)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vs Black + subtype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Invasive breast cancer incidence trends by detailed race/ethnicity and age (Liu et al., 2012)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 County (CSP/CA-SEER)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detailed race/ethnicity incl Filipina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Cumulative Incidence Rates of Breast Cancer by Age for Filipinos and Chamorros in Guam (Badowski et al., 2020)</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 CR + Hawaii TR + 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Chamorro/Filipino Guam/Hawaii</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Age-specific incidence of breast cancer subtypes: Understanding the black-white crossover (Clarke et al., 2012)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subtype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Quantification of Potential Inequities in Breast Cancer Incidence in New Mexico Through Bayesian Disease Mapping (Zahrieh et al., 2021)</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(New Mexico)</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of cancer incidence in Michigan's American Indians: Spotlight on breast cancer (Roen et al., 2014)</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Michigan registry (IHS-linked)</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vs White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trends of breast cancer molecular subtypes by age and race/ethnicity in the US from 2010 to 2016 (Acheampong et al., 2020)</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subtype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among American Indian and Alaska Native women: US, 1999-2004 (Wingo et al., 2008)</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SEER/NPCR (IHS-linked)</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vs NHW by IHS region</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Decreasing Incidence of Estrogen Receptor-Negative Breast Cancer in the United States: Trends by Race and Region (Davis Lynn et al., 2022)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12/17</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NHB/NHW/HW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Are There Regional Differences in Triple Negative Breast Cancer among Non-Hispanic Black Women? (Bartley et al., 2021)</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NHB by region (no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Rapidly rising breast cancer incidence rates among Asian-American women (Deapen et al., 2002)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 County / CCR + 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Asian-American ethnic groups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Persistence in breast cancer disparities between African Americans and whites in Wisconsin (Lepeak et al., 2011)</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Wisconsin (WCRS)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African American vs White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Among US Women Aged 20 to 49 Years by Race, Stage, and Hormone Receptor Status (Xu et al., 2024)</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HR</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trends among asian american populations in the united states, 1990-2008 (Gomez et al., 2013)</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 Asian American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Variation in Racial and Ethnic Disparities in Incidence of Triple-Negative Breast Cancer among US Women (Sung et al., 2023)</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vs White by state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breast cancer incidence rates by race/ethnicity: Patterns by stage, socioeconomic position, and geography in the United States, 1999-2017 (Kaur et al., 2022)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 CiNA</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vs NHW (age 50-84)</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high and heterogeneous burden of breast cancer in Hawaii: A unique multiethnic U.S. Population (Loo et al., 2019)</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White/Japanese/Native Hawaiian/Filipino/Chinese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Socioeconomic status and breast cancer incidence in California for different race/ethnic groups (Yost et al., 2001)</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NHW/black/Hispanic/Asian + SES</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Breast Cancer Incidence, by Race, Ethnicity, and Age Among Women Aged ≥20 Years - United States, 1999-2018 (Ellington et al., 2022)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race/ethnicity/age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stage at diagnosis for young breast cancer patients in the United States (DeSantis et al., 2019)</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 (42 states) + 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 white/black young-onset</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Vital signs: Racial disparities in breast cancer severity - United States, 2005-2009 (Cronin et al., 2012)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vs white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breast cancer by race and ethnicity: Update 2006 (Smigal et al., 2006)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NAACCR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Rate Variations among the Chinese, South Asian, and Vietnamese  in Massachusetts, 2011-2015 (Knowlton et al., 2020)</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Massachusetts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Chinese/S.Asian/Vietnamese (ref=All Asians)</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epidemiology in blacks and whites: Disparities in incidence, mortality, survival rates and histology (Baquet et al., 2008)</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vs white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in Black and White Women Stratified by Estrogen and Progesterone Receptor Statuses (Gleason et al., 2012)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vs white + ER/PR</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Recent trends in breast cancer among younger women in the United States (Brinton et al., 2008)</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13</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 white/black/Hispanic/AANHPI</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rates in U.S. women re no longer declining (DeSantis et al., 2011)</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12</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ER</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trends among native hawaiians and other pacific islanders in the united states, 1990-2008 (Liu et al., 2013)</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 NHOPI</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 and regional disparities of triple negative breast cancer incidence rates in the United States: An analysis of 2011-2019 NPCR and SEER incidence data (Zhang et al., 2022)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 + SEER (USCS)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NHB/NHW/Hispanic/AANHPI/AI/AN</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trends in Asian women aged 20 or older as compared to other ethnic women in the United States from 2000 to 2018 by time period, age and tumor stage (Du et al., 2022)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NHW/NHB/AANHPI/Hispanic/AI/AN</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Home mortgage discrimination and incidence of triple-negative and Luminal A breast cancer among non-Hispanic Black and non-Hispanic White females in California, 2006–2015 (Michaels et al., 2022)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NHB vs NHW (TNBC/LumA)</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in Asian American, Native Hawaiian, and Pacific Islander Populations, 2000-2022 (Gomez et al., 2026)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SEER-21</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detailed AANHPI ethnicities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Hidden breast cancer disparities in Asian women: disaggregating incidence rates by ethnicity and migrant status. (Gomez et al., 2010)</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ethnicity + nativity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Patterns in cancer incidence among American Indians/Alaska Natives, United States, 1992-1999 (Paltoo et al., 2004)</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(12 areas, 42% AI/AN)</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vs white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Does socioeconomic disparity in cancer incidence vary across racial/ethnic groups? (Yin et al., 2010)</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NHW/Black/Hispanic/AANHPI by SES</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Forty-year trends in menopausal hormone therapy use and breast cancer incidence  among postmenopausal black and white women (Chlebowski et al., 2020)</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vs Black (50+)</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What can we learn from the age- and race/ethnicity- specific rates of inflammatory breast carcinoma? (Il'yasova et al., 2011)</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African-American/White/etc</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Age-related crossover in breast cancer incidence rates between black and white ethnic groups (Anderson et al., 2008)</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vs white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rates among American Indians and Alaska Natives: is there a national  perspective (Swan et al., 2003)</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ANTR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vs overall SEER/white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Female Breast Cancer Incidence among Japanese, Korean, and US Populations: An Age-Period-Cohort Analysis (Abubakar et al., 2026)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8 + CI5</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 Japanese/White/Black (+native Japan/Korea)</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Variation in breast cancer subtype incidence and distribution by race/ethnicity in the United States from 2010 to 2015 (Kong et al., 2020)</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subtype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Recent breast cancer trends among Asian/Pacific Islander, Hispanic, and African-American women in the US: Changes by tumor subtype (Hausauer et al., 2007)</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(LA+)</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AANHPI/Hispanic/AA vs White (50+)</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Early estimates of cancer incidence for 2015: Expanding to include estimates for white and black races (Lewis et al., 2018)</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white/black</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Inter- and intra-ethnic differences for female breast carcinoma incidence in the continental United States and in the state of Hawaii (Fong et al., 2006)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13</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White/AANHPI/Black continental + Hawaii</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 Asian Americans in California, 1988–2013: increasing incidence trends and recent data on breast cancer subtypes (Gomez et al., 2017)</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 ethnic groups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patterns among california hispanic women: Differences by nativity and residence in an enclave (Keegan et al., 2010)</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nativity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Early- and late-onset breast cancer types among women in the United States and Japan (Matsuno et al., 2007)</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 + Osaka</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 White/Black (+Osaka Japan)</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Cancers of the breast, uterus, ovary and cervix among Alaska native women, 1974-2003 (Day et al., 2010)</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vs USW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Patterns and Trends in Age-Specific Black-White Differences in Breast Cancer Incidence and Mortality - United States, 1999-2014 (Richardson et al., 2016)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vs white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Explaining geographic variation in breast and cervical cancer incidence rates in US Hispanic women (Polednak, 2005)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(11 registries)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women by geography</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Decline in US breast cancer rates after the Women's Health Initiative: socioeconomic and racial/ethnic differentials. (Krieger et al., 2010)</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13</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SES</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Differences in breast cancer incidence among young women aged 20–49 years by stage and tumor characteristics, age, race, and ethnicity, 2004–2013 (Shoemaker et al., 2018)</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 + 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subtype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Racial/ethnicity disparities in invasive breast cancer among younger and older  women: An analysis using multiple measures of population health (Hung et al., 2016)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 / NPCR-SEER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younger vs older</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Age/race differences in HER2 testing and in incidence rates for breast cancer triple subtypes: A population-based study and first report (Lund et al., 2010)</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Atlanta SEER + Georgia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by age/race + triple subtype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Rates for breast cancer characteristics by estrogen and progesterone receptor status in the major racial/ethnic groups (Chu et al., 2002)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11</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6 racial/ethnic groups + ER/PR</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Breast Cancer Incidence, Mortality, and Quality of Care among African American and European American Women in South Carolina (Samson et al., 2016)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Cancer Profiles (SC)</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African American vs European American</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 trend analysis of breast cancer incidence rates in the United States from 2000 to 2009 shows a recent increase (Hou et al., 2013)</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NHW/NHB/AANHPI/Hispanic</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Higher population-based incidence rates of triple-negative breast cancer among young African-American women (Amirikia et al., 2011)</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NHW/NHB/Hispanic + TNBC</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Regional disparities in incidence and outcomes of invasive ductal carcinoma of the breast among Asian and Pacific Islander women in the United States (Bunte et al., 2025)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women by region (no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Incidence of Invasive Lobular Carcinoma of the Breast by Race: Patterns by Age, Cancer Stage, and Socioeconomic Factors in the United States, 1992-2019 (Quinn et al., 2025)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12</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NHW/NHB/Hispanic</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role of ethnic enclaves and neighborhood socioeconomic status in invasive breast cancer incidence rates among Asian American, Native Hawaiian, and Pacific Islander females in California (Truong et al., 2025)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by enclave/nSES (not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Trends, and Racial/Ethnic Disparities in Female Breast Cancer in the United States, 2000-2023: A SEER Based Study (Mzizi et al., 2026)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Changes in breast cancer incidence rates in the United States by histologic subtype and race/ethnicity, 1995 to 2004 (Li et al., 2007)</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NHW/black/AI/AN/AANHPI + histology</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and changing US socioeconomic gradients in breast cancer incidence: California and Massachusetts, 1978-2002 (United States) (Krieger et al., 2006)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 Massachusetts (SEER)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SES</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 differences in the incidence of breast cancer subtypes defined by combined histologic grade and hormone receptor status (Cunningham et al., 2010)</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SC + Ohio state registries (non-SEER)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 + ER/Grade subtype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Comparison of clinicopathologic features and survival in young American women aged 18-39 years in different ethnic groups with breast cancer (Liu et al., 2013)</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ethnic groups (18-39)</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and Patterns of Late and Unstaged Lung, Colorectal, Female Breast, and  Prostate Cancers among American Indians in the Northern Plains, 2002-2009 (Watanabe-Galloway et al., 2015)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NE/ND/SD state registries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Recent trends in breast cancer incidence among 6 Asian groups in the Greater Bay Area of Northern California (Keegan et al., 2007)</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Greater Bay Area / CCR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6 Asian subgroups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Persistent poverty and breast cancer incidence by tumor subtype: intersections of rural/urban residence and race within USA Surveillance Epidemiology and End Results Registries, 2017 to 2021 (Sherr et al., 2026)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22</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 strata (comparator=poverty)</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greater impact of menopause on ER- than ER+ breast cancer incidence: A possible explanation (United States) (Tarone et al., 2002)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vs black + male (ER/PR)</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Spillover effects of public school integration in the southern United States: diverging trends in statewide annual breast cancer incidence, 2001–2019 (Chanpura, 2026)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NHB vs White (policy/cohort)</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Changes in the pattern of breast cancer burden among African American women: Evidence based on 29 states and District of Columbia during 1998 to 2010 (Sighoko et al., 2015)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NPCR + NAACCR (29 states)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African American vs Caucasian</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area-socioeconomic and race-ethnic disparities in breast cancer incidence, stage at diagnosis, screening, mortality, and survival among women ages 50 years and over (1987-2005) (Harper et al., 2009)</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area-SES (50+)</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Cancer Incidence among American Indians and Alaska Natives and Non-Hispanic Whites in the United States, 1999-2015 (Gopalani et al., 2020)</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CDC USCS (NPCR+SEER)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and Trends in Persistent Poverty Areas of California by Race/Ethnicity and Sex (Movsisyan Vernon et al., 2025)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 (comparator=PPA/non-PPA)</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Asian Americans, Native Hawaiians, and Pacific Islanders, 2016: Converging incidence in males and females (Torre et al., 2016)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(aggregate)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role of area-level socioeconomic disadvantage in racial disparities in cancer incidence in metropolitan Detroit (Purrington et al., 2023)</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Metro Detroit (MDCSS)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NHB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Characterizing breast cancer incidence and trends among Asian American, Native Hawaiian, and non-Hispanic White women in Hawaiʻi, 1990-2014 (Ihenacho et al., 2023)</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 and socioeconomic disparities in breast cancer diagnosis and mortality in Pennsylvania (Williams et al., 2022)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Pennsylvania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vs white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 Guam and Hawaii: A comparison of two U.S. Island populations (Hernandez et al., 2017)</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 CR + Hawaii TR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 vs Hawaii (not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 the middle eastern population of California, 1988-2004 (Nasseri, 2009)</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Secular trends, race, and geographic disparity of early-stage breast cancer incidence: 25 years of surveillance in Connecticut (Crabbe et al., 2015)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Connecticut Tumor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vs non-White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Urbanization and breast cancer incidence in North Carolina, 1995-1999 (Hall et al., 2005)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North Carolina Central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 x urbanization</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Geographic differences in early-onset breast cancer incidence trends in the USA, 2001–2020, is it time for a geographic risk score? (Kehm et al., 2025)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region</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statistics for women diagnosed with inflammatory breast cancer (United States) (Wingo et al., 2004)</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26 registries (~40% US)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 (unclear)</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and stage at diagnosis in the six US-Affiliated Pacific  Islands (Gopalani et al., 2024)</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Pacific Regional Central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USAPI vs US</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cancer incidence by rurality in California (Oh et al., 2023)</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 x rurality</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among Asian Indians/Pakistanis living in the United States: Low incidence and generally above average survival (Goggins et al., 2009)</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Cancer-related risk factors and incidence of major cancers by race, gender and region; analysis of the NIH-AARP diet and health study (Akinyemiju et al., 2017)</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NIH-AARP cohort</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race/gender/region</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the Somali population of Olmsted County: A Rochester epidemiology project study (Mohamed et al., 2023)</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Rochester Epidemiology Project</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Somali vs non-Somali/SEER</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adolescents and young adults, 2020 (Miller et al., 2020)</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(aggregate)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breast cancer incidence and survival by age, race, and molecular subtype in US women (Wang et al., 2026)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8/17</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subtype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Early-Onset Cancer Incidence Disparities Between Black and White Individuals in the US, 2003-2022 (Lawrence et al., 2026)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 Black vs NH White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Cancer Society’s Report on the Status of Cancer Disparities in the United States, 2025 (Islami et al., 2026)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(aggregate)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2026 (Siegel et al., 2026)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(aggregate)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stage at diagnosis, and trends across the Navajo Nation, 2014–2018 (Yazzie et al., 2025)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NM Tumor Registry + AZ + UT (IHS-linked)</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Navajo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Characterizing cancer patterns in Okinawan vs. mainland Japanese Americans: The Multiethnic Cohort Study (Streicher et al., 2025)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Multiethnic Cohort</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Okinawan vs mainland Japanese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Inequalities in Fertility-Impacting Cancer Incidence Among Young Populations in the United States (Tierney et al., 2025)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(grouped cancers)</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the Hispanic Community Health Study/Study of Latinos (HCHS/SOL)—The Onco-SOL Ancillary Study (Parada et al., 2025)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HCHS/SOL + state registries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heritage groups</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Early-onset cancer incidence in the United States by race/ethnicity between 2011 and 2020 (Gupta et al., 2024)</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Rural–Urban Cancer Incidence and Trends in the United States, 2000 to 2019 (Semprini et al., 2024)</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22</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 (comparator=rurality)</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Associations of Obesity, Physical Activity, and Screening With State-Level Trends and Racial and Ethnic Disparities of Breast Cancer Incidence and Mortality in the US (Xie et al., 2022)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minority vs White by state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disparities among non-Hispanic urban American Indian and Alaska Native populations in the United States, 1999-2017 (Melkonian et al., 2022)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 (IHS-linked)</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urban AI/AN vs urban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Trends by Estrogen Receptor Status among Asian American Ethnic Groups, 1990-2014 (Tuan et al., 2021)</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 + API</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6 Asian ethnicities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Subtype-specific breast cancer incidence rates in black versus white men in the United States (Sung et al., 2020)</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vs white MEN</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and associations with known risk and protective factors: the Alaska EARTH study (Nash et al., 2019)</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EARTH cohort (ANTR)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 cohort (risk factors)</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and survival among young women with stage I-III breast cancer: Seer 2000-2015 (Thomas et al., 2019)</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(20-49)</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cancer incidence and trends among American Indians and Alaska natives in the United States, 2010–2015 (Melkonian et al., 2019)</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 (IHS-linked)</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vs white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patterns in Hmong in Minnesota, 2000 to 2012 (Oyenuga et al., 2018)</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Minnesota Cancer Surveillance System</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Hmong vs AANHPI/NHW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fluctuating incidence, improved survival of patients with breast cancer, and disparities by age, race, and socioeconomic status by decade, 1981–2010 (Lu et al., 2018)</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 + SES</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rate for breast cancer in Japanese in Japan and in the United States from the Cancer Incidence in Five Continents (Katanoda et al., 2016)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CI5 + SEER 9/Hawaii</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 Japan vs US (White/Black)</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first generation U.S. Hispanics: Cubans, Mexicans, Puerto Ricans, and New Latinos (Pinheiro et al., 2009)</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Florida Cancer Data System</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Cuban/Mexican/PR vs NHW/NHB</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Fifty years of cancer in an American Indian population (Mahoney et al., 2009)</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New York State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(Seneca) vs general pop</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health disparities among Indian and Pakistani immigrants in the United States a Surveillance, Epidemiology, and End Results-based study from 1988 to 2003 (Hossain et al., 2008)</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 American Indian and Alaska Native Young Adults (Ages 20-44 Years): US, 1999-2004 (Weir et al., 2008)</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 (IHS-linked)</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vs NHW (20-44)</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rates among South Asians in four geographic regions: India, Singapore, UK and US (Rastogi et al., 2008)</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11 + state</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South Asian US vs US whites</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Cambodian cancer incidence rates in California and Washington, 1998-2002 (Kem et al., 2007)</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(CA + Puget Sound)</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Cambodian vs NHW/Asian</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the Middle Eastern population of California, 1988-2004. (Nasseri et al., 2007)</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among Korean-American immigrants in the United States and native Koreans in South Korea (Lee et al., 2007)</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Korean-American vs white/black</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Patterns of cancer incidence among US Hispanics/Latinos, 1995-2000 (Carozza et al., 2006)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vs NHW/NHB</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the South Asian population of California, 1988-2000 (Jain et al., 2005)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South Asian vs NHW/AANHPI</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effect of migration on cancer incidence among Japanese in Hawaii (Maskarinec et al., 2004)</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Japanese-in-Hawaii vs white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 the Minnesota Hmong population (Ross et al., 2003)</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Minnesota Cancer Surveillance System</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Hmong vs US-born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patterns in Koreans in the US and in Kangwha, South Korea (Gomez et al., 2003)</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California</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Structural Racism and Triple-Negative Breast Cancer among Black and White Women in the United States (Eldridge et al., 2022)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vs white (TNBC)</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of and Trends in the Leading Cancers with Elevated Incidence among American Indian and Alaska Native Populations, 2012-2016 (Melkonian et al., 2021)</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 (IHS-linked)</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Risk of cancer in Asian Americans: a Kaiser Permanente cohort study (Tran et al., 2016)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Kaiser Permanente (cohort)</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Characterizing inflammatory breast cancer among Arab Americans in the California, Detroit and New Jersey Surveillance, Epidemiology and End Results (SEER) registries (1988-2008) (Hirko et al., 2013)</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(CA/Detroit/NJ)</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Arab American vs NHW (IBC)</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ethnicity and breast cancer subtypes: A study from the California Cancer Registry (Telli et al., 2011)</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ethnicity vs NHW + subtype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Changes in cancer incidence patterns among a northeastern American Indian population: 1955-1969 versus 1990-2004 (Mahoney et al., 2009)</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New York State Cancer Registry (IHS-linked)</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northeastern AI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patterns among Vietnamese in the United States and Ha Noi, Vietnam (Le et al., 2002)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 + 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 US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of selected cancers in Non-Hispanic American Indian and Alaska Native adolescent and young adult populations, 1999-2019 (Melkonian et al., 2023)</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 (IHS-linked)</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NH-AI/AN AYA</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among Asian American populations in the United States, 2009-2011 (Jin et al., 2016)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state (NPCR)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6 Asian subgroups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Racial/ethnic patterns in lifetime and age-conditional risk estimates for selected cancers (Miller et al., 2006)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detailed race/ethnicity</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and mortality patterns among specific Asian and Pacific Islander populations in the US (Miller et al., 2008)</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state</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subgroups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Breast Cancer Incidence and Mortality in the United States From 2004-2018: A Surveillance, Epidemiology, and End Results (SEER)-Based Study (Bazzi et al., 2023)</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White-Black Differences in Cancer Incidence, Stage at Diagnosis, and Survival Among Older Adults (Krok-Schoen et al., 2018)</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vs Black (65+)</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featuring state-level statistics after the onset of the COVID-19 pandemic (Sherman et al., 2025)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(aggregate)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mortality, and associated risk factors among Asian Americans of Chinese, Filipino, Vietnamese, Korean, and Japanese ethnicities (McCracken et al., 2007)</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5 Asian ethnicities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 EXCESS OF BREAST CANCER AMONG YOUNG CALIFORNIA-BORN ASIAN WOMEN (Reynolds et al., 2011)</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CA-born Asian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African American and Black people, 2025 (Saka et al., 2025)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(aggregate)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among Hispanic women in South Florida: An 18-year assessment - A report from the Florida Cancer Data System (Wilkinson et al., 2002)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Florida Cancer Data System</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Profile in Sub-Saharan African-Born Blacks in the United States: Similarities and Differences With US-Born Non-Hispanic Blacks (Medhanie et al., 2017)</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African-born vs US-born Black</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Differences in the cancer burden among foreign-born and US-born Arab Americans living in metropolitan Detroit (Khan et al., 2013)</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Metropolitan Detroit (MDCSS)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foreign/US-born Arab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risk in different generations of Middle Eastern immigrants to California, 1988-2013 (Ziadeh et al., 2017)</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 immigrant generations</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bl>
    <w:p>
      <w:pPr>
        <w:spacing w:after="80"/>
      </w:pPr>
    </w:p>
    <w:p>
      <w:r>
        <w:br w:type="page"/>
      </w:r>
    </w:p>
    <w:p>
      <w:pPr>
        <w:pStyle w:val="Heading1"/>
        <w:spacing w:after="100" w:before="200"/>
      </w:pPr>
      <w:r>
        <w:rPr>
          <w:rFonts w:ascii="Malgun Gothic" w:cs="Malgun Gothic" w:eastAsia="Malgun Gothic" w:hAnsi="Malgun Gothic"/>
          <w:b/>
          <w:bCs/>
          <w:sz w:val="24"/>
          <w:szCs w:val="24"/>
        </w:rPr>
        <w:t xml:space="preserve">Supplementary Table 3. Full-text exclusions with reasons</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8862"/>
        <w:gridCol w:w="5538"/>
      </w:tblGrid>
      <w:tr>
        <w:trPr>
          <w:tblHeader/>
        </w:trPr>
        <w:tc>
          <w:tcPr>
            <w:tcW w:type="dxa" w:w="8862"/>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Study (author, year)</w:t>
            </w:r>
          </w:p>
        </w:tc>
        <w:tc>
          <w:tcPr>
            <w:tcW w:type="dxa" w:w="5538"/>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Exclusion reason</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Stage IV Breast Cancer Incidence and Survival, 2010-202 (Avila et al.,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among hispanic and non-hispanic white women in Arizona (Martínez et al., 2007)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Triple-negative breast cancer incidence in the United States: ecological correlations with area-level sociodemographics, healthcare, and health behaviors (Moss et al., 2021)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and Age Distribution of Breast Cancer Diagnosis in the United  States (Stapleton et al., 2018)</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of breast cancer with distant involvement among women in the United States, 1976 to 2009 (Johnson et al., 2013)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Risks of developing breast and colorectal cancer in association with incomes and geographic locations in Texas: A retrospective cohort study (Liu et al., 2016)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Stage at Presentation for Disaggregated Asian American, Native Hawaiian, and Pacific Islander Patients with Breast Cancer (Thaploo et al., 2025)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risk of developing breast cancer within the next 5, 10, or 20 years of a woman's life (Morris et al., 2001)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trends among young women in the United States (Tarone, 2006)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in Asian American, Native Hawaiian, and Pacific Islander Populations (Calip et al.,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Is male breast cancer similar or different than female breast cancer? (Anderson et al., 2004)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Impact of Eliminating Socioeconomic and Racial Disparities on Premature Cancer Deaths (Siegel et al., 2011)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trends and outcomes among young Black Women: A national cancer database analysis (Thompson et al.,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Ineligible population</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Rising Breast Cancer Incidence and Poor Outcomes in Young Women: A Retrospective Study (Den et al.,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Ineligible population</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Differences in Breast Cancer Subtypes among Racial/Ethnic Groups (Sasaki et al., 2024)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Ineligible population</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2019 (DeSantis et al., 2019)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Lobular breast cancer statistics, 2025 (Giaquinto et al., 2025)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2015: Convergence of incidence rates between black and white women (DeSantis et al., 2016)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African Americans, 2016: Progress and opportunities in reducing racial disparities (DeSantis et al., 2016)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part 1: National cancer statistics (Cronin et al.,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part I: National cancer statistics (Henley et al., 2020)</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1975-2010, featuring  prevalence of comorbidity and impact on survival among persons with lung, colorectal, breast, or prostate cancer (Edwards et al., 2014)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1975-2014, Featuring  Survival (Jemal et al., 2017)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1975-2003, featuring cancer  among U.S. Hispanic/Latino populations (Howe et al., 2006)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1975-2011, featuring incidence of breast cancer subtypes by race/ethnicity, poverty, and state (Kohler et al., 2015)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1975-2002, featuring  population-based trends in cancer treatment (Edwards et al., 2005)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2017, racial disparity in mortality by state (DeSantis et al., 2017)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African American/Black People 2022 (Giaquinto et al.,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1973-1999, featuring implications of age and aging on U.S. cancer burden (Edwards et al., 2002)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2022 (Giaquinto et al.,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1975-2004, featuring cancer  in American Indians and Alaska Natives (Espey et al., 2007)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(1973 through 1998),  featuring cancers with recent increasing trends (Howe et al., 2001)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Featuring Cancer in Men and Women Age 20–49 Years (Ward et al., 2019)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annual report to the nation on the status of cancer, 1973-1997, with a  special section on colorectal cancer (Ries et al., 2000)</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1975-2006, featuring  colorectal cancer trends and impact of interventions (risk factors, screening, and treatment) to reduce future rates (Edwards et al., 2010)</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2012 (Siegel et al., 2012)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Regional Disparities in Incidence and Outcomes of Invasive Ductal Carcinoma Among Asian and Pacific Islander Women in the United States (Bunte et al., 2024)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2024 (Siegel et al., 2024)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2023 (Siegel et al., 2023)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Cancer Society's report on the status of cancer disparities in the United States, 2021 (Islami et al.,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Estrogen receptor negative breast cancer incidence rates are similar in Ghanaian and Non-Hispanic Black women in the USA (Davis Lynn et al.,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2022 (Siegel et al.,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2020 (Siegel et al., 2020)</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African Americans, 2019 (DeSantis et al., 2019)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Hispanics/Latinos, 2018 (Miller et al., 2018)</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2018 (Siegel et al., 2018)</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2017 (Siegel et al., 2017)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Hispanics/Latinos, 2015 (Siegel et al., 2015)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2015 (Siegel et al., 2015)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2013 (Desantis et al., 2014)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African Americans, 2013 (Desantis et al., 2013)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Age-Related Crossover in Breast Cancer Incidence Rates between Black and White Women: Implications for Removing Racial Disparities in Breast Cancer Care (Anderson et al., 2009)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2009 (Jemal et al., 2009)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2008 (Jemal et al., 2008)</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2005 (Jemal et al., 2005)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2004 (Jemal et al., 2004)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2002 (Jemal et al., 2002)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part 2: Early assessment of the COVID-19 pandemic’s impact on cancer diagnosis (Negoita et al., 2024)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and mortality among Filipinos in the USA and the Philippines: Patterns and trends (Gomez et al., 2016)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1975-2001, with a special feature regarding survival (Jemal et al., 2004)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19752009, Featuring the Burden and Trends in Human Papillomavirus (HPV)Associated Cancers and HPV Vaccination Coverage Levels (Jemal et al., 2013)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2011 (DeSantis et al., 2011)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2014 (Siegel et al., 2014)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1975-2007, Featuring Tumors of the Brain and Other Nervous System (Kohler et al., 2011)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1975-2000, featuring the uses of surveillance data for cancer prevention and control (Weir et al., 2003)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1975-2005, Featuring Trends in Lung Cancer, Tobacco Use, and Tobacco Control (Jemal et al., 2008)</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2013 (Siegel et al., 2013)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Hispanics/Latinos, 2012 (Siegel et al., 2012)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1975-2008, featuring cancers associated with excess weight and lack of sufficient physical activity (Eheman et al., 2012)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Hispanics, 2003 (O'Brien et al., 2003)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trends among black and white women in the United States (Jatoi et al., 2005)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patterns and lifetime risk of developing breast cancer among Puerto Rican females. (Nazario et al., 2000)</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Women's cancers among Alaska Natives 1969-2003. (Day et al., 2006)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 a multiethnic cohort in Hawaii and Los Angeles: Risk factor-adjusted incidence in Japanese equals and in Hawaiians exceeds that in whites (Pike et al., 2002)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Women's cancers among Alaska Natives: [corrected] 1969-2003. (Kelly et al., 2007)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Rural–urban disparities in breast cancer incidence among US women aged 20–49: trends by race/ethnicity, stage, poverty, and state from 2000–2019 (Ho et al.,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trends in triple-negative breast cancer among women in the United States from 2010 to 2019 by race/ethnicity, age and tumor stage (Du et al., 2023)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Time trends and racial differences in female breast cancer incidence in Pennsylvania, 1985-2004 (Han et al., 2011)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Improving cancer incidence estimates for American Indians in Wisconsin (Foote et al., 2007)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bl>
    <w:p>
      <w:pPr>
        <w:spacing w:after="80"/>
      </w:pPr>
    </w:p>
    <w:p>
      <w:r>
        <w:br w:type="page"/>
      </w:r>
    </w:p>
    <w:p>
      <w:pPr>
        <w:pStyle w:val="Heading1"/>
        <w:spacing w:after="100" w:before="200"/>
      </w:pPr>
      <w:r>
        <w:rPr>
          <w:rFonts w:ascii="Malgun Gothic" w:cs="Malgun Gothic" w:eastAsia="Malgun Gothic" w:hAnsi="Malgun Gothic"/>
          <w:b/>
          <w:bCs/>
          <w:sz w:val="24"/>
          <w:szCs w:val="24"/>
        </w:rPr>
        <w:t xml:space="preserve">Supplementary Table 4. Registry overlap and representative selection</w:t>
      </w:r>
    </w:p>
    <w:p>
      <w:pPr>
        <w:spacing w:after="80"/>
      </w:pPr>
      <w:r>
        <w:rPr>
          <w:rFonts w:ascii="Malgun Gothic" w:cs="Malgun Gothic" w:eastAsia="Malgun Gothic" w:hAnsi="Malgun Gothic"/>
          <w:i/>
          <w:iCs/>
          <w:sz w:val="18"/>
          <w:szCs w:val="18"/>
        </w:rPr>
        <w:t xml:space="preserve">One representative per registry family per analytic cell for the main analysis; overlapping estimates retained for sensitivity.</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1554"/>
        <w:gridCol w:w="1502"/>
        <w:gridCol w:w="1761"/>
        <w:gridCol w:w="1761"/>
        <w:gridCol w:w="1606"/>
        <w:gridCol w:w="1088"/>
        <w:gridCol w:w="1191"/>
        <w:gridCol w:w="1813"/>
        <w:gridCol w:w="2124"/>
      </w:tblGrid>
      <w:tr>
        <w:trPr>
          <w:tblHeader/>
        </w:trPr>
        <w:tc>
          <w:tcPr>
            <w:tcW w:type="dxa" w:w="1554"/>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Study</w:t>
            </w:r>
          </w:p>
        </w:tc>
        <w:tc>
          <w:tcPr>
            <w:tcW w:type="dxa" w:w="1502"/>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Dimension</w:t>
            </w:r>
          </w:p>
        </w:tc>
        <w:tc>
          <w:tcPr>
            <w:tcW w:type="dxa" w:w="1761"/>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1761"/>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Comparator</w:t>
            </w:r>
          </w:p>
        </w:tc>
        <w:tc>
          <w:tcPr>
            <w:tcW w:type="dxa" w:w="1606"/>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Registry family</w:t>
            </w:r>
          </w:p>
        </w:tc>
        <w:tc>
          <w:tcPr>
            <w:tcW w:type="dxa" w:w="1088"/>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Period</w:t>
            </w:r>
          </w:p>
        </w:tc>
        <w:tc>
          <w:tcPr>
            <w:tcW w:type="dxa" w:w="1191"/>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Std pop</w:t>
            </w:r>
          </w:p>
        </w:tc>
        <w:tc>
          <w:tcPr>
            <w:tcW w:type="dxa" w:w="181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IRR [95% CI]</w:t>
            </w:r>
          </w:p>
        </w:tc>
        <w:tc>
          <w:tcPr>
            <w:tcW w:type="dxa" w:w="2124"/>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Main analysis</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Zahrieh 2021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2005-2014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0.384 [0.253, 0.546]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(AI/AN undercount)</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Yazzie 2025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(Navajo)</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2014-2018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0.49 [0.44, 0.55]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(Northern Plains)</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1.33 [1.26, 1.41]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(Southern Plains)</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1.25 [1.11, 1.41]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Nash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1.09 [0.99, 1.21]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(AI/AN undercount)</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Nash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Other/unspecified</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2014-2018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0.952 [0.851, 1.065]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origin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Cuban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0.755 [0.677, 0.842]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Carozza 2006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origin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Hispanic/Latina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NAACCR/CiNA (~93%)</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1995-2000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Wilkinson 2002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origin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Hispanic/Latina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1990-1998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age-adjusted (SE-reported)</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0.651 [0.624, 0.679]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origin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Mexican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0.503 [0.376, 0.673]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origin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New Latino</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0.684 [0.619, 0.756]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origin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Puerto Rican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0.817 [0.726, 0.920]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Anderson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≥40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world/2000?</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0.851 [0.841, 0.862]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Harper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Harper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0.659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Harper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0.914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0.774 [0.700, 0.855]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Harper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0.660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1.064 [0.978, 1.157]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1.366 [1.246, 1.499]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Brinton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&lt;40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1992-2004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1.533 [1.352, 1.739]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Anderson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&lt;40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world/2000?</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1.183 [1.142, 1.226]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Baquet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&lt;40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(age&lt;40)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1995-2004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1.16 [1.1, 1.23]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Xu 2024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0.75 [0.72, 0.79]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Xu 2024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0.96 [0.95, 0.97]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Xu 2024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1.01 [1.0, 1.03]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0.768 [0.633, 0.932]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Xu 2024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 [0.75, 0.77]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1.479 [1.252, 1.748]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0.858 [0.710, 1.036]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0.683 [0.642, 0.726]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(AI/AN undercount)</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Xie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0.718 [0.707, 0.728]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0.708 [0.677, 0.739]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Hendrick 2021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2013-2017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 [0.52, 0.65]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2019-2023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0.846 [0.808, 0.887]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(registry-direct anchor)</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Gopalani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0.560 [0.550, 0.570]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Other/unspecified</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2017-2021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0.81 [0.77, 0.85]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[0.752, 0.788]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Xie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0.694 [0.690, 0.698]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0.809 [0.801, 0.817]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Hendrick 2021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2013-2017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0.92 [0.9, 0.95]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2019-2023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0.823 [0.815, 0.831]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(registry-direct anchor)</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Other/unspecified</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2017-2021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 [0.79, 0.8]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0.933 [0.920, 0.946]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Cronin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2004-2008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0.957 [0.944, 0.971]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Xie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0.940 [0.938, 0.943]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Richardson 2016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0.983 [0.977, 0.989]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Davis Lynn 2025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2013-2015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Segi world</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0.971 [0.956, 0.987]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0.941 [0.932, 0.949]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Hendrick 2021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2013-2017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0.97 [0.95, 1.0]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2019-2023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0.937 [0.929, 0.945]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(registry-direct anchor)</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LA County</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Other/unspecified</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2017-2021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 [0.92, 0.94]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(women)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men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2011-2015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0.98 [0.97, 0.98]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0.718 [0.707, 0.731]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Xie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0.710 [0.707, 0.713]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0.746 [0.74, 0.751]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Hendrick 2021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2013-2017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0.75 [0.73, 0.76]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2019-2023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0.763 [0.757, 0.769]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(registry-direct anchor)</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Keegan 2010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0.623 [0.616, 0.630]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LA County</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Other/unspecified</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2017-2021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0.73 [0.72, 0.73]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0.792 [0.784, 0.800]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0.958 [0.937, 0.979]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Goggins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World (SIR ref=US White)</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[0.56, 0.66]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Kem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Cambodian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1998-2002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 (inferred, NHW=155.5)</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0.264 [0.204, 0.341]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0.760 [0.745, 0.775]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0.491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LA County</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0.575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Keegan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Greater Bay Area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0.857 [0.839, 0.874]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Keegan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Greater Bay Area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Guamanian/Chamorro/Samoan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0.723 [0.641, 0.817]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Mills 2005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Hmong</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Hmong 1988-2000 / NHW 1995-1999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 (inferred, NHW=145.5)</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0.164 [0.120, 0.224]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1.045 [1.009, 1.083]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Keegan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Greater Bay Area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0.677 [0.654, 0.701]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2003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1988-1992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1970 world</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0.254 [0.224, 0.288]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0.332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LA County</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0.558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Keegan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Greater Bay Area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Laotian/Kampuchean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0.388 [0.350, 0.430]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Miller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NAACCR/CiNA (~93%)</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1998-2002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1.211 [1.123, 1.305]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1.270 [1.213, 1.330]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 and Pacific Islander (NHPI)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1.212 [1.168, 1.258]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Keegan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South Asian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Greater Bay Area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0.586 [0.566, 0.608]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0.363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Keegan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Greater Bay Area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Nasseri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 (inferred, NHW=146.9)</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[0.84, 0.88]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Male 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(men)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men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2011-2015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1.52 [1.44, 1.6]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Male BC, 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(men)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men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2011-2015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2.62 [1.48, 4.43]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Male BC, 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(men)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men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2011-2015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1.41 [1.32, 1.5]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Male BC, 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(men)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men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2011-2015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1.65 [1.4, 1.93]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Male BC, 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(men)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men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2011-2015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2.27 [1.67, 3.03]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By nativity</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 (US-born)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foreign-born Chinese</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1.84 [1.72, 1.96]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By nativity</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 (US-born)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foreign-born Filipina</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1.32 [1.2, 1.44]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Gleason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ER−/PR+</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2004-2008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1.459 [1.267, 1.679]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Gleason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ER+/PR−</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2004-2008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0.974 [0.925, 1.027]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Davis Lynn 2025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2013-2015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Segi world</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1.796 [1.740, 1.853]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Gleason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2004-2008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1.600 [1.548, 1.652]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Asian-American combined</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 [1.12, 1.30]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1.41 [1.33, 1.49]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1.46 [1.38, 1.54]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0.88 [0.82, 0.95]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1.19 [1.16, 1.21]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Davis Lynn 2025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2013-2015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Segi world</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0.820 [0.805, 0.836]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Gleason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2004-2008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0.703 [0.685, 0.722]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0.689 [0.662, 0.717]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 [0.85, 0.88]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0.739 [0.712, 0.768]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[0.84, 0.87]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Lund 2010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2003-2004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0.783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Filipino</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 [0.63, 0.66]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0.604 [0.581, 0.627]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0.78 [0.76, 0.79]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1.03 [1.03, 1.04]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1.12 [1.11, 1.14]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South Asian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1.48 [1.29, 1.69]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1.39 [1.12, 1.73]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0.850 [0.768, 0.941]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1.004 [0.916, 1.101]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1.12 [1.08, 1.16]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 [0.55, 0.9]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Filipino</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0.88 [0.86, 0.91]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0.687 [0.625, 0.756]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0.91 [0.88, 0.94]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1.03 [1.02, 1.05]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1.35 [1.347, 1.351]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2015-2019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0.860 [0.800, 0.930]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Asian-American combined</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[0.58, 0.65]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2015-2019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0.700 [0.680, 0.720]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0.640 [0.572, 0.716]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 [0.75, 0.83]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2015-2019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1.950 [1.930, 1.980]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1.817 [1.697, 1.946]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 [1.958, 2.043]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2.07 [2.01, 2.14]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Lund 2010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2003-2004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1.871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 [0.39, 0.71]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Filipino</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 [0.8, 0.88]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2015-2019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0.860 [0.840, 0.880]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0.824 [0.756, 0.897]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0.94 [0.91, 0.98]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[0.79, 0.91]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bl>
    <w:p>
      <w:pPr>
        <w:spacing w:after="80"/>
      </w:pPr>
    </w:p>
    <w:p>
      <w:pPr>
        <w:spacing w:after="80"/>
      </w:pPr>
      <w:r>
        <w:rPr>
          <w:rFonts w:ascii="Malgun Gothic" w:cs="Malgun Gothic" w:eastAsia="Malgun Gothic" w:hAnsi="Malgun Gothic"/>
          <w:i/>
          <w:iCs/>
          <w:sz w:val="18"/>
          <w:szCs w:val="18"/>
        </w:rPr>
        <w:t xml:space="preserve">Registries are nested (county ⊂ state ⊂ SEER ⊂ NAACCR ⊂ USCS), so overlapping estimates for the same analytic cell are not independent. For each cell (outcome dimension × group) one representative was kept per registry family, selected by (i) an IRR being computable, (ii) coverage (USCS &gt; NAACCR &gt; SEER-national &gt; state/regional), (iii) most recent end-year then longest span, and (iv) clearest standardization / directly-reported CI.</w:t>
      </w:r>
    </w:p>
    <w:p>
      <w:pPr>
        <w:spacing w:after="80"/>
      </w:pPr>
      <w:r>
        <w:rPr>
          <w:rFonts w:ascii="Malgun Gothic" w:cs="Malgun Gothic" w:eastAsia="Malgun Gothic" w:hAnsi="Malgun Gothic"/>
          <w:i/>
          <w:iCs/>
          <w:sz w:val="18"/>
          <w:szCs w:val="18"/>
        </w:rPr>
        <w:t xml:space="preserve">Main analysis: “yes (representative)” = the estimate carried into the main analysis; “no (overlaps representative)” = collapses to the cell representative and is used only in the all-included sensitivity analysis; “no (AI/AN undercount)” = an unlinked national-registry AI/AN estimate demoted in favour of the IHS-linked representative; “no (registry-direct anchor)” = the SEER-Explorer reference value, not a screened study.</w:t>
      </w:r>
    </w:p>
    <w:p>
      <w:pPr>
        <w:spacing w:after="80"/>
      </w:pPr>
      <w:r>
        <w:rPr>
          <w:rFonts w:ascii="Malgun Gothic" w:cs="Malgun Gothic" w:eastAsia="Malgun Gothic" w:hAnsi="Malgun Gothic"/>
          <w:i/>
          <w:iCs/>
          <w:sz w:val="18"/>
          <w:szCs w:val="18"/>
        </w:rPr>
        <w:t xml:space="preserve">Comparator: the reference group is shown as each source defined it. Studies that stratified the reference by Hispanic origin are shown as non-Hispanic White (NHW); a minority of (mostly older) studies used an unstratified White reference, shown as “White (not NH-stratified)” rather than relabelled as NHW. All comparisons are within a single U.S. registry frame, so the reference rate and the minority rate come from the same source, period, and standard population — the incidence rate ratio is therefore internally valid even where the reference is unstratified White. A sensitivity analysis restricted to NHW-comparator estimates is reported in Supplementary Table 9c.</w:t>
      </w:r>
    </w:p>
    <w:p>
      <w:pPr>
        <w:spacing w:after="80"/>
      </w:pPr>
      <w:r>
        <w:rPr>
          <w:rFonts w:ascii="Malgun Gothic" w:cs="Malgun Gothic" w:eastAsia="Malgun Gothic" w:hAnsi="Malgun Gothic"/>
          <w:i/>
          <w:iCs/>
          <w:sz w:val="18"/>
          <w:szCs w:val="18"/>
        </w:rPr>
        <w:t xml:space="preserve">Standard population: age-standardization is to the 2000 U.S. standard unless the “Std pop” column shows otherwise (Davis Lynn 2025, Segi world, in two Black-subtype cells; a few sensitivity-only estimates on the 1970 world or other standards). Because the rate ratio is formed within each study, the standard population largely cancels; the few non-2000 estimates are flagged here and examined in the heterogeneity table.</w:t>
      </w:r>
    </w:p>
    <w:p>
      <w:r>
        <w:br w:type="page"/>
      </w:r>
    </w:p>
    <w:p>
      <w:pPr>
        <w:pStyle w:val="Heading1"/>
        <w:spacing w:after="100" w:before="200"/>
      </w:pPr>
      <w:r>
        <w:rPr>
          <w:rFonts w:ascii="Malgun Gothic" w:cs="Malgun Gothic" w:eastAsia="Malgun Gothic" w:hAnsi="Malgun Gothic"/>
          <w:b/>
          <w:bCs/>
          <w:sz w:val="24"/>
          <w:szCs w:val="24"/>
        </w:rPr>
        <w:t xml:space="preserve">Supplementary Table 5. Risk of bias (Newcastle-Ottawa Scale, adapted)</w:t>
      </w:r>
    </w:p>
    <w:p>
      <w:pPr>
        <w:spacing w:after="80"/>
      </w:pPr>
      <w:r>
        <w:rPr>
          <w:rFonts w:ascii="Malgun Gothic" w:cs="Malgun Gothic" w:eastAsia="Malgun Gothic" w:hAnsi="Malgun Gothic"/>
          <w:i/>
          <w:iCs/>
          <w:sz w:val="18"/>
          <w:szCs w:val="18"/>
        </w:rPr>
        <w:t xml:space="preserve">Each cell shows 1 where the item was met (blank = not met). Selection (max 4): S1–S4; Comparability (max 2): C1–C2; Outcome (max 3): O1–O3. AI-generated first pass; reviewer to spot-check.</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4320"/>
        <w:gridCol w:w="840"/>
        <w:gridCol w:w="840"/>
        <w:gridCol w:w="840"/>
        <w:gridCol w:w="840"/>
        <w:gridCol w:w="840"/>
        <w:gridCol w:w="840"/>
        <w:gridCol w:w="840"/>
        <w:gridCol w:w="840"/>
        <w:gridCol w:w="840"/>
        <w:gridCol w:w="2520"/>
      </w:tblGrid>
      <w:tr>
        <w:trPr>
          <w:tblHeader/>
        </w:trPr>
        <w:tc>
          <w:tcPr>
            <w:tcW w:type="dxa" w:w="4320"/>
            <w:vMerge w:val="restart"/>
            <w:shd w:fill="E7EEF6" w:color="auto" w:val="clear"/>
            <w:tcMar>
              <w:top w:type="dxa" w:w="25"/>
              <w:left w:type="dxa" w:w="70"/>
              <w:bottom w:type="dxa" w:w="25"/>
              <w:right w:type="dxa" w:w="70"/>
            </w:tcMar>
            <w:vAlign w:val="center"/>
          </w:tcPr>
          <w:p>
            <w:pPr>
              <w:jc w:val="center"/>
            </w:pPr>
            <w:r>
              <w:rPr>
                <w:rFonts w:ascii="Malgun Gothic" w:cs="Malgun Gothic" w:eastAsia="Malgun Gothic" w:hAnsi="Malgun Gothic"/>
                <w:b/>
                <w:bCs/>
                <w:sz w:val="15"/>
                <w:szCs w:val="15"/>
              </w:rPr>
              <w:t xml:space="preserve">Study</w:t>
            </w:r>
          </w:p>
        </w:tc>
        <w:tc>
          <w:tcPr>
            <w:tcW w:type="dxa" w:w="3360"/>
            <w:gridSpan w:val="4"/>
            <w:shd w:fill="E7EEF6" w:color="auto" w:val="clear"/>
            <w:tcMar>
              <w:top w:type="dxa" w:w="25"/>
              <w:left w:type="dxa" w:w="70"/>
              <w:bottom w:type="dxa" w:w="25"/>
              <w:right w:type="dxa" w:w="70"/>
            </w:tcMar>
            <w:vAlign w:val="center"/>
          </w:tcPr>
          <w:p>
            <w:pPr>
              <w:jc w:val="center"/>
            </w:pPr>
            <w:r>
              <w:rPr>
                <w:rFonts w:ascii="Malgun Gothic" w:cs="Malgun Gothic" w:eastAsia="Malgun Gothic" w:hAnsi="Malgun Gothic"/>
                <w:b/>
                <w:bCs/>
                <w:sz w:val="15"/>
                <w:szCs w:val="15"/>
              </w:rPr>
              <w:t xml:space="preserve">Selection</w:t>
            </w:r>
          </w:p>
        </w:tc>
        <w:tc>
          <w:tcPr>
            <w:tcW w:type="dxa" w:w="1680"/>
            <w:gridSpan w:val="2"/>
            <w:shd w:fill="E7EEF6" w:color="auto" w:val="clear"/>
            <w:tcMar>
              <w:top w:type="dxa" w:w="25"/>
              <w:left w:type="dxa" w:w="70"/>
              <w:bottom w:type="dxa" w:w="25"/>
              <w:right w:type="dxa" w:w="70"/>
            </w:tcMar>
            <w:vAlign w:val="center"/>
          </w:tcPr>
          <w:p>
            <w:pPr>
              <w:jc w:val="center"/>
            </w:pPr>
            <w:r>
              <w:rPr>
                <w:rFonts w:ascii="Malgun Gothic" w:cs="Malgun Gothic" w:eastAsia="Malgun Gothic" w:hAnsi="Malgun Gothic"/>
                <w:b/>
                <w:bCs/>
                <w:sz w:val="15"/>
                <w:szCs w:val="15"/>
              </w:rPr>
              <w:t xml:space="preserve">Comparability</w:t>
            </w:r>
          </w:p>
        </w:tc>
        <w:tc>
          <w:tcPr>
            <w:tcW w:type="dxa" w:w="2520"/>
            <w:gridSpan w:val="3"/>
            <w:shd w:fill="E7EEF6" w:color="auto" w:val="clear"/>
            <w:tcMar>
              <w:top w:type="dxa" w:w="25"/>
              <w:left w:type="dxa" w:w="70"/>
              <w:bottom w:type="dxa" w:w="25"/>
              <w:right w:type="dxa" w:w="70"/>
            </w:tcMar>
            <w:vAlign w:val="center"/>
          </w:tcPr>
          <w:p>
            <w:pPr>
              <w:jc w:val="center"/>
            </w:pPr>
            <w:r>
              <w:rPr>
                <w:rFonts w:ascii="Malgun Gothic" w:cs="Malgun Gothic" w:eastAsia="Malgun Gothic" w:hAnsi="Malgun Gothic"/>
                <w:b/>
                <w:bCs/>
                <w:sz w:val="15"/>
                <w:szCs w:val="15"/>
              </w:rPr>
              <w:t xml:space="preserve">Outcome</w:t>
            </w:r>
          </w:p>
        </w:tc>
        <w:tc>
          <w:tcPr>
            <w:tcW w:type="dxa" w:w="2520"/>
            <w:vMerge w:val="restart"/>
            <w:shd w:fill="E7EEF6" w:color="auto" w:val="clear"/>
            <w:tcMar>
              <w:top w:type="dxa" w:w="25"/>
              <w:left w:type="dxa" w:w="70"/>
              <w:bottom w:type="dxa" w:w="25"/>
              <w:right w:type="dxa" w:w="70"/>
            </w:tcMar>
            <w:vAlign w:val="center"/>
          </w:tcPr>
          <w:p>
            <w:pPr>
              <w:jc w:val="center"/>
            </w:pPr>
            <w:r>
              <w:rPr>
                <w:rFonts w:ascii="Malgun Gothic" w:cs="Malgun Gothic" w:eastAsia="Malgun Gothic" w:hAnsi="Malgun Gothic"/>
                <w:b/>
                <w:bCs/>
                <w:sz w:val="15"/>
                <w:szCs w:val="15"/>
              </w:rPr>
              <w:t xml:space="preserve">Quality</w:t>
            </w:r>
          </w:p>
        </w:tc>
      </w:tr>
      <w:tr>
        <w:trPr>
          <w:tblHeader/>
        </w:trPr>
        <w:tc>
          <w:tcPr>
            <w:vMerge w:val="continue"/>
          </w:tcPr>
          <w:p/>
        </w:tc>
        <w:tc>
          <w:tcPr>
            <w:tcW w:type="dxa" w:w="840"/>
            <w:shd w:fill="E7EEF6" w:color="auto" w:val="clear"/>
            <w:tcMar>
              <w:top w:type="dxa" w:w="25"/>
              <w:left w:type="dxa" w:w="50"/>
              <w:bottom w:type="dxa" w:w="25"/>
              <w:right w:type="dxa" w:w="50"/>
            </w:tcMar>
          </w:tcPr>
          <w:p>
            <w:pPr>
              <w:jc w:val="center"/>
            </w:pPr>
            <w:r>
              <w:rPr>
                <w:rFonts w:ascii="Malgun Gothic" w:cs="Malgun Gothic" w:eastAsia="Malgun Gothic" w:hAnsi="Malgun Gothic"/>
                <w:b/>
                <w:bCs/>
                <w:sz w:val="14"/>
                <w:szCs w:val="14"/>
              </w:rPr>
              <w:t xml:space="preserve">S1</w:t>
            </w:r>
          </w:p>
        </w:tc>
        <w:tc>
          <w:tcPr>
            <w:tcW w:type="dxa" w:w="840"/>
            <w:shd w:fill="E7EEF6" w:color="auto" w:val="clear"/>
            <w:tcMar>
              <w:top w:type="dxa" w:w="25"/>
              <w:left w:type="dxa" w:w="50"/>
              <w:bottom w:type="dxa" w:w="25"/>
              <w:right w:type="dxa" w:w="50"/>
            </w:tcMar>
          </w:tcPr>
          <w:p>
            <w:pPr>
              <w:jc w:val="center"/>
            </w:pPr>
            <w:r>
              <w:rPr>
                <w:rFonts w:ascii="Malgun Gothic" w:cs="Malgun Gothic" w:eastAsia="Malgun Gothic" w:hAnsi="Malgun Gothic"/>
                <w:b/>
                <w:bCs/>
                <w:sz w:val="14"/>
                <w:szCs w:val="14"/>
              </w:rPr>
              <w:t xml:space="preserve">S2</w:t>
            </w:r>
          </w:p>
        </w:tc>
        <w:tc>
          <w:tcPr>
            <w:tcW w:type="dxa" w:w="840"/>
            <w:shd w:fill="E7EEF6" w:color="auto" w:val="clear"/>
            <w:tcMar>
              <w:top w:type="dxa" w:w="25"/>
              <w:left w:type="dxa" w:w="50"/>
              <w:bottom w:type="dxa" w:w="25"/>
              <w:right w:type="dxa" w:w="50"/>
            </w:tcMar>
          </w:tcPr>
          <w:p>
            <w:pPr>
              <w:jc w:val="center"/>
            </w:pPr>
            <w:r>
              <w:rPr>
                <w:rFonts w:ascii="Malgun Gothic" w:cs="Malgun Gothic" w:eastAsia="Malgun Gothic" w:hAnsi="Malgun Gothic"/>
                <w:b/>
                <w:bCs/>
                <w:sz w:val="14"/>
                <w:szCs w:val="14"/>
              </w:rPr>
              <w:t xml:space="preserve">S3</w:t>
            </w:r>
          </w:p>
        </w:tc>
        <w:tc>
          <w:tcPr>
            <w:tcW w:type="dxa" w:w="840"/>
            <w:shd w:fill="E7EEF6" w:color="auto" w:val="clear"/>
            <w:tcMar>
              <w:top w:type="dxa" w:w="25"/>
              <w:left w:type="dxa" w:w="50"/>
              <w:bottom w:type="dxa" w:w="25"/>
              <w:right w:type="dxa" w:w="50"/>
            </w:tcMar>
          </w:tcPr>
          <w:p>
            <w:pPr>
              <w:jc w:val="center"/>
            </w:pPr>
            <w:r>
              <w:rPr>
                <w:rFonts w:ascii="Malgun Gothic" w:cs="Malgun Gothic" w:eastAsia="Malgun Gothic" w:hAnsi="Malgun Gothic"/>
                <w:b/>
                <w:bCs/>
                <w:sz w:val="14"/>
                <w:szCs w:val="14"/>
              </w:rPr>
              <w:t xml:space="preserve">S4</w:t>
            </w:r>
          </w:p>
        </w:tc>
        <w:tc>
          <w:tcPr>
            <w:tcW w:type="dxa" w:w="840"/>
            <w:shd w:fill="E7EEF6" w:color="auto" w:val="clear"/>
            <w:tcMar>
              <w:top w:type="dxa" w:w="25"/>
              <w:left w:type="dxa" w:w="50"/>
              <w:bottom w:type="dxa" w:w="25"/>
              <w:right w:type="dxa" w:w="50"/>
            </w:tcMar>
          </w:tcPr>
          <w:p>
            <w:pPr>
              <w:jc w:val="center"/>
            </w:pPr>
            <w:r>
              <w:rPr>
                <w:rFonts w:ascii="Malgun Gothic" w:cs="Malgun Gothic" w:eastAsia="Malgun Gothic" w:hAnsi="Malgun Gothic"/>
                <w:b/>
                <w:bCs/>
                <w:sz w:val="14"/>
                <w:szCs w:val="14"/>
              </w:rPr>
              <w:t xml:space="preserve">C1</w:t>
            </w:r>
          </w:p>
        </w:tc>
        <w:tc>
          <w:tcPr>
            <w:tcW w:type="dxa" w:w="840"/>
            <w:shd w:fill="E7EEF6" w:color="auto" w:val="clear"/>
            <w:tcMar>
              <w:top w:type="dxa" w:w="25"/>
              <w:left w:type="dxa" w:w="50"/>
              <w:bottom w:type="dxa" w:w="25"/>
              <w:right w:type="dxa" w:w="50"/>
            </w:tcMar>
          </w:tcPr>
          <w:p>
            <w:pPr>
              <w:jc w:val="center"/>
            </w:pPr>
            <w:r>
              <w:rPr>
                <w:rFonts w:ascii="Malgun Gothic" w:cs="Malgun Gothic" w:eastAsia="Malgun Gothic" w:hAnsi="Malgun Gothic"/>
                <w:b/>
                <w:bCs/>
                <w:sz w:val="14"/>
                <w:szCs w:val="14"/>
              </w:rPr>
              <w:t xml:space="preserve">C2</w:t>
            </w:r>
          </w:p>
        </w:tc>
        <w:tc>
          <w:tcPr>
            <w:tcW w:type="dxa" w:w="840"/>
            <w:shd w:fill="E7EEF6" w:color="auto" w:val="clear"/>
            <w:tcMar>
              <w:top w:type="dxa" w:w="25"/>
              <w:left w:type="dxa" w:w="50"/>
              <w:bottom w:type="dxa" w:w="25"/>
              <w:right w:type="dxa" w:w="50"/>
            </w:tcMar>
          </w:tcPr>
          <w:p>
            <w:pPr>
              <w:jc w:val="center"/>
            </w:pPr>
            <w:r>
              <w:rPr>
                <w:rFonts w:ascii="Malgun Gothic" w:cs="Malgun Gothic" w:eastAsia="Malgun Gothic" w:hAnsi="Malgun Gothic"/>
                <w:b/>
                <w:bCs/>
                <w:sz w:val="14"/>
                <w:szCs w:val="14"/>
              </w:rPr>
              <w:t xml:space="preserve">O1</w:t>
            </w:r>
          </w:p>
        </w:tc>
        <w:tc>
          <w:tcPr>
            <w:tcW w:type="dxa" w:w="840"/>
            <w:shd w:fill="E7EEF6" w:color="auto" w:val="clear"/>
            <w:tcMar>
              <w:top w:type="dxa" w:w="25"/>
              <w:left w:type="dxa" w:w="50"/>
              <w:bottom w:type="dxa" w:w="25"/>
              <w:right w:type="dxa" w:w="50"/>
            </w:tcMar>
          </w:tcPr>
          <w:p>
            <w:pPr>
              <w:jc w:val="center"/>
            </w:pPr>
            <w:r>
              <w:rPr>
                <w:rFonts w:ascii="Malgun Gothic" w:cs="Malgun Gothic" w:eastAsia="Malgun Gothic" w:hAnsi="Malgun Gothic"/>
                <w:b/>
                <w:bCs/>
                <w:sz w:val="14"/>
                <w:szCs w:val="14"/>
              </w:rPr>
              <w:t xml:space="preserve">O2</w:t>
            </w:r>
          </w:p>
        </w:tc>
        <w:tc>
          <w:tcPr>
            <w:tcW w:type="dxa" w:w="840"/>
            <w:shd w:fill="E7EEF6" w:color="auto" w:val="clear"/>
            <w:tcMar>
              <w:top w:type="dxa" w:w="25"/>
              <w:left w:type="dxa" w:w="50"/>
              <w:bottom w:type="dxa" w:w="25"/>
              <w:right w:type="dxa" w:w="50"/>
            </w:tcMar>
          </w:tcPr>
          <w:p>
            <w:pPr>
              <w:jc w:val="center"/>
            </w:pPr>
            <w:r>
              <w:rPr>
                <w:rFonts w:ascii="Malgun Gothic" w:cs="Malgun Gothic" w:eastAsia="Malgun Gothic" w:hAnsi="Malgun Gothic"/>
                <w:b/>
                <w:bCs/>
                <w:sz w:val="14"/>
                <w:szCs w:val="14"/>
              </w:rPr>
              <w:t xml:space="preserve">O3</w:t>
            </w:r>
          </w:p>
        </w:tc>
        <w:tc>
          <w:tcPr>
            <w:vMerge w:val="continue"/>
          </w:tcP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Howlader 2014</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Davis Lynn 2025</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Zhang 2025</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Nash 2019</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Mills 2005</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Nash 2022</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Hendrick 2021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Liu 2012</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Zahrieh 2021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Xu 2024</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Sung 2023</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Loo 2019</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Ellington 2022</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Cronin 2012</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Baquet 2008</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Gleason 2012</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Brinton 2008</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Gomez 2026</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Gomez 2010</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Anderson 2008</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Kong 2020</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Gomez 2017</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Keegan 2010</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Richardson 2016</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Lund 2010</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Poor</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Keegan 2007</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Harper 2009</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Poor</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Gopalani 2020</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Ihenacho 2023</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Nasseri 2009</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Goggins 2009</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Yazzie 2025</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Xie 2022</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Sung 2020</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Melkonian 2019</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Pinheiro 2009</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Kem 2007</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Carozza 2006</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Gomez 2003</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Melkonian 2021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Miller 2008</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McCracken 2007</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Poor</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Wilkinson 2002</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bl>
    <w:p>
      <w:pPr>
        <w:spacing w:after="80"/>
      </w:pPr>
    </w:p>
    <w:p>
      <w:pPr>
        <w:spacing w:after="80"/>
      </w:pPr>
      <w:r>
        <w:rPr>
          <w:rFonts w:ascii="Malgun Gothic" w:cs="Malgun Gothic" w:eastAsia="Malgun Gothic" w:hAnsi="Malgun Gothic"/>
          <w:i/>
          <w:iCs/>
          <w:sz w:val="18"/>
          <w:szCs w:val="18"/>
        </w:rPr>
        <w:t xml:space="preserve">Sel = Selection (max 4 stars): (1) representativeness — defined population-based registry; (2) sample size — adequate case count for a stable age-adjusted rate (national/multi-registry or ≥50 cases); (3) ascertainment of race/ethnicity — standard registry coding or IHS/tribal linkage (surname-based or national AI/AN undercount loses the star); (4) case ascertainment completeness (high-completeness registry).</w:t>
      </w:r>
    </w:p>
    <w:p>
      <w:pPr>
        <w:spacing w:after="80"/>
      </w:pPr>
      <w:r>
        <w:rPr>
          <w:rFonts w:ascii="Malgun Gothic" w:cs="Malgun Gothic" w:eastAsia="Malgun Gothic" w:hAnsi="Malgun Gothic"/>
          <w:i/>
          <w:iCs/>
          <w:sz w:val="18"/>
          <w:szCs w:val="18"/>
        </w:rPr>
        <w:t xml:space="preserve">Comp = Comparability (max 2 stars): (1) age-standardization to a stated standard population (e.g., 2000 US); (2) minority and non-Hispanic White comparator from the same standard, diagnosis period and registry (externally-paired comparator loses the star).</w:t>
      </w:r>
    </w:p>
    <w:p>
      <w:pPr>
        <w:spacing w:after="80"/>
      </w:pPr>
      <w:r>
        <w:rPr>
          <w:rFonts w:ascii="Malgun Gothic" w:cs="Malgun Gothic" w:eastAsia="Malgun Gothic" w:hAnsi="Malgun Gothic"/>
          <w:i/>
          <w:iCs/>
          <w:sz w:val="18"/>
          <w:szCs w:val="18"/>
        </w:rPr>
        <w:t xml:space="preserve">Out = Outcome (max 3 stars): (1) outcome assessment — invasive breast cancer via registry/pathology record linkage; (2) statistical reporting — 95% CI or SE reported; (3) appropriate analysis — age-adjusted IRR directly reported or correctly computed with a variance (point-only computation loses the star).</w:t>
      </w:r>
    </w:p>
    <w:p>
      <w:pPr>
        <w:spacing w:after="80"/>
      </w:pPr>
      <w:r>
        <w:rPr>
          <w:rFonts w:ascii="Malgun Gothic" w:cs="Malgun Gothic" w:eastAsia="Malgun Gothic" w:hAnsi="Malgun Gothic"/>
          <w:i/>
          <w:iCs/>
          <w:sz w:val="18"/>
          <w:szCs w:val="18"/>
        </w:rPr>
        <w:t xml:space="preserve">Overall quality (AHRQ thresholds): Good = Selection 3–4 AND Comparability 1–2 AND Outcome 2–3; Fair = Selection 2 AND Comparability 1–2 AND Outcome 2–3; Poor = Selection 0–1 OR Comparability 0 OR Outcome 0–1. The 8 Poor ratings arise where only a point estimate without a confidence interval was available (Outcome = 1). Assessment is an AI-generated first pass for reviewer verification.</w:t>
      </w:r>
    </w:p>
    <w:p>
      <w:r>
        <w:br w:type="page"/>
      </w:r>
    </w:p>
    <w:p>
      <w:pPr>
        <w:pStyle w:val="Heading1"/>
        <w:spacing w:after="100" w:before="200"/>
      </w:pPr>
      <w:r>
        <w:rPr>
          <w:rFonts w:ascii="Malgun Gothic" w:cs="Malgun Gothic" w:eastAsia="Malgun Gothic" w:hAnsi="Malgun Gothic"/>
          <w:b/>
          <w:bCs/>
          <w:sz w:val="24"/>
          <w:szCs w:val="24"/>
        </w:rPr>
        <w:t xml:space="preserve">Supplementary Table 6. Certainty of evidence assessment using a GRADE-informed scoring framework</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3000"/>
        <w:gridCol w:w="11400"/>
      </w:tblGrid>
      <w:tr>
        <w:trPr>
          <w:tblHeader/>
        </w:trPr>
        <w:tc>
          <w:tcPr>
            <w:tcW w:type="dxa" w:w="300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Criteria</w:t>
            </w:r>
          </w:p>
        </w:tc>
        <w:tc>
          <w:tcPr>
            <w:tcW w:type="dxa" w:w="1140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Descriptions</w:t>
            </w:r>
          </w:p>
        </w:tc>
      </w:tr>
      <w:tr>
        <w:tc>
          <w:tcPr>
            <w:tcW w:type="dxa" w:w="3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Baseline certainty</w:t>
            </w:r>
          </w:p>
        </w:tc>
        <w:tc>
          <w:tcPr>
            <w:tcW w:type="dxa" w:w="11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All outcomes are bodies of observational, population-based cancer-registry evidence and therefore start at Low (baseline score = 0).</w:t>
            </w:r>
          </w:p>
        </w:tc>
      </w:tr>
      <w:tr>
        <w:tc>
          <w:tcPr>
            <w:tcW w:type="dxa" w:w="3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Risk of bias</w:t>
            </w:r>
          </w:p>
        </w:tc>
        <w:tc>
          <w:tcPr>
            <w:tcW w:type="dxa" w:w="11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Based on the adapted Newcastle-Ottawa Scale (Table 5). Downgraded by −1 when the representative study for the outcome was rated Poor.</w:t>
            </w:r>
          </w:p>
        </w:tc>
      </w:tr>
      <w:tr>
        <w:tc>
          <w:tcPr>
            <w:tcW w:type="dxa" w:w="3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Inconsistency</w:t>
            </w:r>
          </w:p>
        </w:tc>
        <w:tc>
          <w:tcPr>
            <w:tcW w:type="dxa" w:w="11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Downgraded by −1 when overlapping estimates for the same cell disagreed in the direction of effect. The very high I² among overlapping registry estimates was NOT treated as inconsistency, because it reflects repeated inclusion of non-independent, nested registry data rather than genuine between-study heterogeneity.</w:t>
            </w:r>
          </w:p>
        </w:tc>
      </w:tr>
      <w:tr>
        <w:tc>
          <w:tcPr>
            <w:tcW w:type="dxa" w:w="3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Indirectness</w:t>
            </w:r>
          </w:p>
        </w:tc>
        <w:tc>
          <w:tcPr>
            <w:tcW w:type="dxa" w:w="11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Downgraded by −1 when the population, exposure, comparator, or outcome did not directly correspond to the review question. Judged not serious: U.S. population-based registries directly measure age-adjusted invasive breast-cancer incidence by race/ethnicity versus non-Hispanic White.</w:t>
            </w:r>
          </w:p>
        </w:tc>
      </w:tr>
      <w:tr>
        <w:tc>
          <w:tcPr>
            <w:tcW w:type="dxa" w:w="3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Imprecision</w:t>
            </w:r>
          </w:p>
        </w:tc>
        <w:tc>
          <w:tcPr>
            <w:tcW w:type="dxa" w:w="11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Downgraded by −1 when the 95% confidence interval included the null (IRR = 1.0) for a near-null estimate, or when only a point estimate without a confidence interval was available.</w:t>
            </w:r>
          </w:p>
        </w:tc>
      </w:tr>
      <w:tr>
        <w:tc>
          <w:tcPr>
            <w:tcW w:type="dxa" w:w="3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Publication bias</w:t>
            </w:r>
          </w:p>
        </w:tc>
        <w:tc>
          <w:tcPr>
            <w:tcW w:type="dxa" w:w="11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Judged not serious: registry data reflect near-complete (census-like) case ascertainment and are not subject to selective publication of significant results; funnel-plot / Egger assessment is not applicable.</w:t>
            </w:r>
          </w:p>
        </w:tc>
      </w:tr>
      <w:tr>
        <w:tc>
          <w:tcPr>
            <w:tcW w:type="dxa" w:w="3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Strength of association</w:t>
            </w:r>
          </w:p>
        </w:tc>
        <w:tc>
          <w:tcPr>
            <w:tcW w:type="dxa" w:w="11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Upgraded for a large magnitude of effect: +1 when IRR ≤ 0.50 or ≥ 2.00; +2 when IRR ≤ 0.20 or ≥ 5.00, provided residual bias is unlikely to account for it.</w:t>
            </w:r>
          </w:p>
        </w:tc>
      </w:tr>
      <w:tr>
        <w:tc>
          <w:tcPr>
            <w:tcW w:type="dxa" w:w="3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Dose–response / confounding</w:t>
            </w:r>
          </w:p>
        </w:tc>
        <w:tc>
          <w:tcPr>
            <w:tcW w:type="dxa" w:w="11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applied: these descriptive incidence studies do not assess an exposure gradient, and residual-confounding upgrades were not used.</w:t>
            </w:r>
          </w:p>
        </w:tc>
      </w:tr>
      <w:tr>
        <w:tc>
          <w:tcPr>
            <w:tcW w:type="dxa" w:w="3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Scoring rules</w:t>
            </w:r>
          </w:p>
        </w:tc>
        <w:tc>
          <w:tcPr>
            <w:tcW w:type="dxa" w:w="11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Final certainty from the Low baseline: High (total score ≥ 2), Moderate (1), Low (0), Very low (≤ −1). Per-outcome scores are given in Table 7. Assessment is an AI-generated first pass for reviewer verification.</w:t>
            </w:r>
          </w:p>
        </w:tc>
      </w:tr>
    </w:tbl>
    <w:p>
      <w:pPr>
        <w:spacing w:after="80"/>
      </w:pPr>
    </w:p>
    <w:p>
      <w:r>
        <w:br w:type="page"/>
      </w:r>
    </w:p>
    <w:p>
      <w:pPr>
        <w:pStyle w:val="Heading1"/>
        <w:spacing w:after="100" w:before="200"/>
      </w:pPr>
      <w:r>
        <w:rPr>
          <w:rFonts w:ascii="Malgun Gothic" w:cs="Malgun Gothic" w:eastAsia="Malgun Gothic" w:hAnsi="Malgun Gothic"/>
          <w:b/>
          <w:bCs/>
          <w:sz w:val="24"/>
          <w:szCs w:val="24"/>
        </w:rPr>
        <w:t xml:space="preserve">Supplementary Table 7. GRADE certainty of evidence by outcome</w:t>
      </w:r>
    </w:p>
    <w:p>
      <w:pPr>
        <w:spacing w:after="80"/>
      </w:pPr>
      <w:r>
        <w:rPr>
          <w:rFonts w:ascii="Malgun Gothic" w:cs="Malgun Gothic" w:eastAsia="Malgun Gothic" w:hAnsi="Malgun Gothic"/>
          <w:i/>
          <w:iCs/>
          <w:sz w:val="18"/>
          <w:szCs w:val="18"/>
        </w:rPr>
        <w:t xml:space="preserve">Certainty derived with the framework in Table 6. RoB = Newcastle-Ottawa rating of the representative study (Table 5); +Large = large-magnitude upgrade (+1 if IRR ≤ 0.50 or ≥ 2.00; +2 if ≤ 0.20 or ≥ 5.00).</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2749"/>
        <w:gridCol w:w="3273"/>
        <w:gridCol w:w="3142"/>
        <w:gridCol w:w="1571"/>
        <w:gridCol w:w="1440"/>
        <w:gridCol w:w="2225"/>
      </w:tblGrid>
      <w:tr>
        <w:trPr>
          <w:tblHeader/>
        </w:trPr>
        <w:tc>
          <w:tcPr>
            <w:tcW w:type="dxa" w:w="2749"/>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Dimension</w:t>
            </w:r>
          </w:p>
        </w:tc>
        <w:tc>
          <w:tcPr>
            <w:tcW w:type="dxa" w:w="327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3142"/>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IRR [95% CI]</w:t>
            </w:r>
          </w:p>
        </w:tc>
        <w:tc>
          <w:tcPr>
            <w:tcW w:type="dxa" w:w="1571"/>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RoB</w:t>
            </w:r>
          </w:p>
        </w:tc>
        <w:tc>
          <w:tcPr>
            <w:tcW w:type="dxa" w:w="144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+Large</w:t>
            </w:r>
          </w:p>
        </w:tc>
        <w:tc>
          <w:tcPr>
            <w:tcW w:type="dxa" w:w="2225"/>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GRADE</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0.560 [0.550, 0.570]</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[0.752, 0.788]</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0.933 [0.920, 0.946]</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(women)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0.98 [0.97, 0.98]</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0.718 [0.707, 0.731]</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0.792 [0.784, 0.800]</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0.958 [0.937, 0.979]</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Cambodian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0.264 [0.204, 0.341]</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1</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0.760 [0.745, 0.775]</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0.857 [0.839, 0.874]</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Guamanian/Chamorro/Samoan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0.723 [0.641, 0.817]</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Hmong</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0.164 [0.120, 0.224]</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High</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1.045 [1.009, 1.083]</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0.677 [0.654, 0.701]</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Laotian/Kampuchean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0.388 [0.350, 0.430]</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1</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1.211 [1.123, 1.305]</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 and Pacific Islander (NHPI)</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1.212 [1.168, 1.258]</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South Asian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NR</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Very 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0.586 [0.566, 0.608]</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[0.84, 0.88]</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origin</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Cuban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0.755 [0.677, 0.842]</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origin</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Hispanic/Latina (aggregate)</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Very 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origin</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Mexican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0.503 [0.376, 0.673]</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origin</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New Latino</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0.684 [0.619, 0.756]</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origin</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Puerto Rican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0.817 [0.726, 0.920]</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Very 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(Navajo)</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0.49 [0.44, 0.55]</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1</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(Northern Plains)</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1.33 [1.26, 1.41]</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(Southern Plains)</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1.25 [1.11, 1.41]</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Male BC</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(men)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1.52 [1.44, 1.6]</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0.647</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Poor</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Very 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0.75 [0.72, 0.79]</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0.860 [0.800, 0.930]</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Asian-American combined</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 [1.12, 1.30]</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Asian-American combined</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[0.58, 0.65]</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0.659</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Poor</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Very 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0.96 [0.95, 0.97]</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1.41 [1.33, 1.49]</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 [0.85, 0.88]</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0.850 [0.768, 0.941]</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0.700 [0.680, 0.720]</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≥40</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0.851 [0.841, 0.862]</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0.914</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Poor</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Very 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&lt;40</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1.183 [1.142, 1.226]</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1.01 [1.0, 1.03]</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ER−/PR+</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1.459 [1.267, 1.679]</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ER+/PR−</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0.974 [0.925, 1.027]</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Very 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1.796 [1.740, 1.853]</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1.46 [1.38, 1.54]</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0.820 [0.805, 0.836]</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[0.84, 0.87]</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1.12 [1.08, 1.16]</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1.950 [1.930, 1.980]</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&lt;40</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(age&lt;40)</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1.16 [1.1, 1.23]</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Male BC, HR−/HER2+</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(men)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2.62 [1.48, 4.43]</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1</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Male BC, HR+/HER2−</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(men)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1.41 [1.32, 1.5]</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Male BC, HR+/HER2+</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(men)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1.65 [1.4, 1.93]</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Male BC, TNBC</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(men)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2.27 [1.67, 3.03]</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1</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Very 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 [0.55, 0.9]</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 [0.39, 0.71]</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By nativity</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 (US-born)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1.84 [1.72, 1.96]</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0.774 [0.700, 0.855]</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0.768 [0.633, 0.932]</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By nativity</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 (US-born)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1.32 [1.2, 1.44]</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Filipino</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 [0.63, 0.66]</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Filipino</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0.88 [0.86, 0.91]</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Filipino</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 [0.8, 0.88]</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0.660</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Poor</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Very 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 [0.75, 0.77]</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0.78 [0.76, 0.79]</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0.91 [0.88, 0.94]</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0.860 [0.840, 0.880]</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1.064 [0.978, 1.157]</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Very 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1.479 [1.252, 1.748]</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0.88 [0.82, 0.95]</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1.03 [1.03, 1.04]</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1.03 [1.02, 1.05]</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1.366 [1.246, 1.499]</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0.858 [0.710, 1.036]</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1.19 [1.16, 1.21]</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1.12 [1.11, 1.14]</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1.35 [1.347, 1.351]</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[0.79, 0.91]</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South Asian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1.48 [1.29, 1.69]</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1.39 [1.12, 1.73]</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bl>
    <w:p>
      <w:pPr>
        <w:spacing w:after="80"/>
      </w:pPr>
    </w:p>
    <w:p>
      <w:r>
        <w:br w:type="page"/>
      </w:r>
    </w:p>
    <w:p>
      <w:pPr>
        <w:pStyle w:val="Heading1"/>
        <w:spacing w:after="100" w:before="200"/>
      </w:pPr>
      <w:r>
        <w:rPr>
          <w:rFonts w:ascii="Malgun Gothic" w:cs="Malgun Gothic" w:eastAsia="Malgun Gothic" w:hAnsi="Malgun Gothic"/>
          <w:b/>
          <w:bCs/>
          <w:sz w:val="24"/>
          <w:szCs w:val="24"/>
        </w:rPr>
        <w:t xml:space="preserve">Supplementary Table 8. Between-study heterogeneity and estimator comparison</w:t>
      </w:r>
    </w:p>
    <w:p>
      <w:pPr>
        <w:spacing w:after="80"/>
      </w:pPr>
      <w:r>
        <w:rPr>
          <w:rFonts w:ascii="Malgun Gothic" w:cs="Malgun Gothic" w:eastAsia="Malgun Gothic" w:hAnsi="Malgun Gothic"/>
          <w:i/>
          <w:iCs/>
          <w:sz w:val="18"/>
          <w:szCs w:val="18"/>
        </w:rPr>
        <w:t xml:space="preserve">Sensitivity = all overlapping estimates (Paule-Mandel + HKSJ); high I² reflects non-independent registry overlap. Main = one representative per family.</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2032"/>
        <w:gridCol w:w="2330"/>
        <w:gridCol w:w="598"/>
        <w:gridCol w:w="1793"/>
        <w:gridCol w:w="2988"/>
        <w:gridCol w:w="896"/>
        <w:gridCol w:w="1016"/>
        <w:gridCol w:w="2749"/>
      </w:tblGrid>
      <w:tr>
        <w:trPr>
          <w:tblHeader/>
        </w:trPr>
        <w:tc>
          <w:tcPr>
            <w:tcW w:type="dxa" w:w="2032"/>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Dimension</w:t>
            </w:r>
          </w:p>
        </w:tc>
        <w:tc>
          <w:tcPr>
            <w:tcW w:type="dxa" w:w="233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598"/>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k</w:t>
            </w:r>
          </w:p>
        </w:tc>
        <w:tc>
          <w:tcPr>
            <w:tcW w:type="dxa" w:w="179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Model</w:t>
            </w:r>
          </w:p>
        </w:tc>
        <w:tc>
          <w:tcPr>
            <w:tcW w:type="dxa" w:w="2988"/>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Sensitivity IRR (95% CI)</w:t>
            </w:r>
          </w:p>
        </w:tc>
        <w:tc>
          <w:tcPr>
            <w:tcW w:type="dxa" w:w="896"/>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I²</w:t>
            </w:r>
          </w:p>
        </w:tc>
        <w:tc>
          <w:tcPr>
            <w:tcW w:type="dxa" w:w="1016"/>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Q p</w:t>
            </w:r>
          </w:p>
        </w:tc>
        <w:tc>
          <w:tcPr>
            <w:tcW w:type="dxa" w:w="2749"/>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Main IRR (95% CI)</w:t>
            </w:r>
          </w:p>
        </w:tc>
      </w:tr>
      <w:tr>
        <w:tc>
          <w:tcPr>
            <w:tcW w:type="dxa" w:w="203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233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59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179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Random-effects</w:t>
            </w:r>
          </w:p>
        </w:tc>
        <w:tc>
          <w:tcPr>
            <w:tcW w:type="dxa" w:w="29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1.021 (0.432-2.412)</w:t>
            </w:r>
          </w:p>
        </w:tc>
        <w:tc>
          <w:tcPr>
            <w:tcW w:type="dxa" w:w="896"/>
            <w:tcMar>
              <w:top w:type="dxa" w:w="25"/>
              <w:left w:type="dxa" w:w="70"/>
              <w:bottom w:type="dxa" w:w="25"/>
              <w:right w:type="dxa" w:w="70"/>
            </w:tcMar>
          </w:tcPr>
          <w:p>
            <w:r>
              <w:rPr>
                <w:rFonts w:ascii="Malgun Gothic" w:cs="Malgun Gothic" w:eastAsia="Malgun Gothic" w:hAnsi="Malgun Gothic"/>
                <w:b w:val="false"/>
                <w:bCs w:val="false"/>
                <w:sz w:val="15"/>
                <w:szCs w:val="15"/>
              </w:rPr>
              <w:t xml:space="preserve">68%</w:t>
            </w:r>
          </w:p>
        </w:tc>
        <w:tc>
          <w:tcPr>
            <w:tcW w:type="dxa" w:w="1016"/>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0.078</w:t>
            </w:r>
          </w:p>
        </w:tc>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r>
      <w:tr>
        <w:tc>
          <w:tcPr>
            <w:tcW w:type="dxa" w:w="203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&lt;40</w:t>
            </w:r>
          </w:p>
        </w:tc>
        <w:tc>
          <w:tcPr>
            <w:tcW w:type="dxa" w:w="233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59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179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Random-effects</w:t>
            </w:r>
          </w:p>
        </w:tc>
        <w:tc>
          <w:tcPr>
            <w:tcW w:type="dxa" w:w="29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1.337 (0.258-6.919)</w:t>
            </w:r>
          </w:p>
        </w:tc>
        <w:tc>
          <w:tcPr>
            <w:tcW w:type="dxa" w:w="896"/>
            <w:tcMar>
              <w:top w:type="dxa" w:w="25"/>
              <w:left w:type="dxa" w:w="70"/>
              <w:bottom w:type="dxa" w:w="25"/>
              <w:right w:type="dxa" w:w="70"/>
            </w:tcMar>
          </w:tcPr>
          <w:p>
            <w:r>
              <w:rPr>
                <w:rFonts w:ascii="Malgun Gothic" w:cs="Malgun Gothic" w:eastAsia="Malgun Gothic" w:hAnsi="Malgun Gothic"/>
                <w:b w:val="false"/>
                <w:bCs w:val="false"/>
                <w:sz w:val="15"/>
                <w:szCs w:val="15"/>
              </w:rPr>
              <w:t xml:space="preserve">93%</w:t>
            </w:r>
          </w:p>
        </w:tc>
        <w:tc>
          <w:tcPr>
            <w:tcW w:type="dxa" w:w="101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&lt;0.001</w:t>
            </w:r>
          </w:p>
        </w:tc>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1.183 (1.142-1.226)</w:t>
            </w:r>
          </w:p>
        </w:tc>
      </w:tr>
      <w:tr>
        <w:tc>
          <w:tcPr>
            <w:tcW w:type="dxa" w:w="203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233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598"/>
            <w:tcMar>
              <w:top w:type="dxa" w:w="25"/>
              <w:left w:type="dxa" w:w="70"/>
              <w:bottom w:type="dxa" w:w="25"/>
              <w:right w:type="dxa" w:w="70"/>
            </w:tcMar>
          </w:tcPr>
          <w:p>
            <w:r>
              <w:rPr>
                <w:rFonts w:ascii="Malgun Gothic" w:cs="Malgun Gothic" w:eastAsia="Malgun Gothic" w:hAnsi="Malgun Gothic"/>
                <w:b w:val="false"/>
                <w:bCs w:val="false"/>
                <w:sz w:val="15"/>
                <w:szCs w:val="15"/>
              </w:rPr>
              <w:t xml:space="preserve">7</w:t>
            </w:r>
          </w:p>
        </w:tc>
        <w:tc>
          <w:tcPr>
            <w:tcW w:type="dxa" w:w="179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Random-effects</w:t>
            </w:r>
          </w:p>
        </w:tc>
        <w:tc>
          <w:tcPr>
            <w:tcW w:type="dxa" w:w="29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0.695 (0.603-0.802)</w:t>
            </w:r>
          </w:p>
        </w:tc>
        <w:tc>
          <w:tcPr>
            <w:tcW w:type="dxa" w:w="896"/>
            <w:tcMar>
              <w:top w:type="dxa" w:w="25"/>
              <w:left w:type="dxa" w:w="70"/>
              <w:bottom w:type="dxa" w:w="25"/>
              <w:right w:type="dxa" w:w="70"/>
            </w:tcMar>
          </w:tcPr>
          <w:p>
            <w:r>
              <w:rPr>
                <w:rFonts w:ascii="Malgun Gothic" w:cs="Malgun Gothic" w:eastAsia="Malgun Gothic" w:hAnsi="Malgun Gothic"/>
                <w:b w:val="false"/>
                <w:bCs w:val="false"/>
                <w:sz w:val="15"/>
                <w:szCs w:val="15"/>
              </w:rPr>
              <w:t xml:space="preserve">99%</w:t>
            </w:r>
          </w:p>
        </w:tc>
        <w:tc>
          <w:tcPr>
            <w:tcW w:type="dxa" w:w="101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&lt;0.001</w:t>
            </w:r>
          </w:p>
        </w:tc>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0.56 (0.55-0.57)</w:t>
            </w:r>
          </w:p>
        </w:tc>
      </w:tr>
      <w:tr>
        <w:tc>
          <w:tcPr>
            <w:tcW w:type="dxa" w:w="203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233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598"/>
            <w:tcMar>
              <w:top w:type="dxa" w:w="25"/>
              <w:left w:type="dxa" w:w="70"/>
              <w:bottom w:type="dxa" w:w="25"/>
              <w:right w:type="dxa" w:w="70"/>
            </w:tcMar>
          </w:tcPr>
          <w:p>
            <w:r>
              <w:rPr>
                <w:rFonts w:ascii="Malgun Gothic" w:cs="Malgun Gothic" w:eastAsia="Malgun Gothic" w:hAnsi="Malgun Gothic"/>
                <w:b w:val="false"/>
                <w:bCs w:val="false"/>
                <w:sz w:val="15"/>
                <w:szCs w:val="15"/>
              </w:rPr>
              <w:t xml:space="preserve">6</w:t>
            </w:r>
          </w:p>
        </w:tc>
        <w:tc>
          <w:tcPr>
            <w:tcW w:type="dxa" w:w="179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Random-effects</w:t>
            </w:r>
          </w:p>
        </w:tc>
        <w:tc>
          <w:tcPr>
            <w:tcW w:type="dxa" w:w="29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0.798 (0.724-0.878)</w:t>
            </w:r>
          </w:p>
        </w:tc>
        <w:tc>
          <w:tcPr>
            <w:tcW w:type="dxa" w:w="896"/>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100%</w:t>
            </w:r>
          </w:p>
        </w:tc>
        <w:tc>
          <w:tcPr>
            <w:tcW w:type="dxa" w:w="101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&lt;0.001</w:t>
            </w:r>
          </w:p>
        </w:tc>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(0.751-0.787)</w:t>
            </w:r>
          </w:p>
        </w:tc>
      </w:tr>
      <w:tr>
        <w:tc>
          <w:tcPr>
            <w:tcW w:type="dxa" w:w="203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233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598"/>
            <w:tcMar>
              <w:top w:type="dxa" w:w="25"/>
              <w:left w:type="dxa" w:w="70"/>
              <w:bottom w:type="dxa" w:w="25"/>
              <w:right w:type="dxa" w:w="70"/>
            </w:tcMar>
          </w:tcPr>
          <w:p>
            <w:r>
              <w:rPr>
                <w:rFonts w:ascii="Malgun Gothic" w:cs="Malgun Gothic" w:eastAsia="Malgun Gothic" w:hAnsi="Malgun Gothic"/>
                <w:b w:val="false"/>
                <w:bCs w:val="false"/>
                <w:sz w:val="15"/>
                <w:szCs w:val="15"/>
              </w:rPr>
              <w:t xml:space="preserve">9</w:t>
            </w:r>
          </w:p>
        </w:tc>
        <w:tc>
          <w:tcPr>
            <w:tcW w:type="dxa" w:w="179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Random-effects</w:t>
            </w:r>
          </w:p>
        </w:tc>
        <w:tc>
          <w:tcPr>
            <w:tcW w:type="dxa" w:w="29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0.951 (0.936-0.965)</w:t>
            </w:r>
          </w:p>
        </w:tc>
        <w:tc>
          <w:tcPr>
            <w:tcW w:type="dxa" w:w="896"/>
            <w:tcMar>
              <w:top w:type="dxa" w:w="25"/>
              <w:left w:type="dxa" w:w="70"/>
              <w:bottom w:type="dxa" w:w="25"/>
              <w:right w:type="dxa" w:w="70"/>
            </w:tcMar>
          </w:tcPr>
          <w:p>
            <w:r>
              <w:rPr>
                <w:rFonts w:ascii="Malgun Gothic" w:cs="Malgun Gothic" w:eastAsia="Malgun Gothic" w:hAnsi="Malgun Gothic"/>
                <w:b w:val="false"/>
                <w:bCs w:val="false"/>
                <w:sz w:val="15"/>
                <w:szCs w:val="15"/>
              </w:rPr>
              <w:t xml:space="preserve">96%</w:t>
            </w:r>
          </w:p>
        </w:tc>
        <w:tc>
          <w:tcPr>
            <w:tcW w:type="dxa" w:w="101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&lt;0.001</w:t>
            </w:r>
          </w:p>
        </w:tc>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0.933 (0.92-0.946)</w:t>
            </w:r>
          </w:p>
        </w:tc>
      </w:tr>
      <w:tr>
        <w:tc>
          <w:tcPr>
            <w:tcW w:type="dxa" w:w="203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2330"/>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598"/>
            <w:tcMar>
              <w:top w:type="dxa" w:w="25"/>
              <w:left w:type="dxa" w:w="70"/>
              <w:bottom w:type="dxa" w:w="25"/>
              <w:right w:type="dxa" w:w="70"/>
            </w:tcMar>
          </w:tcPr>
          <w:p>
            <w:r>
              <w:rPr>
                <w:rFonts w:ascii="Malgun Gothic" w:cs="Malgun Gothic" w:eastAsia="Malgun Gothic" w:hAnsi="Malgun Gothic"/>
                <w:b w:val="false"/>
                <w:bCs w:val="false"/>
                <w:sz w:val="15"/>
                <w:szCs w:val="15"/>
              </w:rPr>
              <w:t xml:space="preserve">7</w:t>
            </w:r>
          </w:p>
        </w:tc>
        <w:tc>
          <w:tcPr>
            <w:tcW w:type="dxa" w:w="179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Random-effects</w:t>
            </w:r>
          </w:p>
        </w:tc>
        <w:tc>
          <w:tcPr>
            <w:tcW w:type="dxa" w:w="29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0.719 (0.675-0.765)</w:t>
            </w:r>
          </w:p>
        </w:tc>
        <w:tc>
          <w:tcPr>
            <w:tcW w:type="dxa" w:w="896"/>
            <w:tcMar>
              <w:top w:type="dxa" w:w="25"/>
              <w:left w:type="dxa" w:w="70"/>
              <w:bottom w:type="dxa" w:w="25"/>
              <w:right w:type="dxa" w:w="70"/>
            </w:tcMar>
          </w:tcPr>
          <w:p>
            <w:r>
              <w:rPr>
                <w:rFonts w:ascii="Malgun Gothic" w:cs="Malgun Gothic" w:eastAsia="Malgun Gothic" w:hAnsi="Malgun Gothic"/>
                <w:b w:val="false"/>
                <w:bCs w:val="false"/>
                <w:sz w:val="15"/>
                <w:szCs w:val="15"/>
              </w:rPr>
              <w:t xml:space="preserve">99%</w:t>
            </w:r>
          </w:p>
        </w:tc>
        <w:tc>
          <w:tcPr>
            <w:tcW w:type="dxa" w:w="101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&lt;0.001</w:t>
            </w:r>
          </w:p>
        </w:tc>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0.718 (0.706-0.73)</w:t>
            </w:r>
          </w:p>
        </w:tc>
      </w:tr>
      <w:tr>
        <w:tc>
          <w:tcPr>
            <w:tcW w:type="dxa" w:w="203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33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59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179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Random-effects</w:t>
            </w:r>
          </w:p>
        </w:tc>
        <w:tc>
          <w:tcPr>
            <w:tcW w:type="dxa" w:w="29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0.766 (0.044-13.475)</w:t>
            </w:r>
          </w:p>
        </w:tc>
        <w:tc>
          <w:tcPr>
            <w:tcW w:type="dxa" w:w="896"/>
            <w:tcMar>
              <w:top w:type="dxa" w:w="25"/>
              <w:left w:type="dxa" w:w="70"/>
              <w:bottom w:type="dxa" w:w="25"/>
              <w:right w:type="dxa" w:w="70"/>
            </w:tcMar>
          </w:tcPr>
          <w:p>
            <w:r>
              <w:rPr>
                <w:rFonts w:ascii="Malgun Gothic" w:cs="Malgun Gothic" w:eastAsia="Malgun Gothic" w:hAnsi="Malgun Gothic"/>
                <w:b w:val="false"/>
                <w:bCs w:val="false"/>
                <w:sz w:val="15"/>
                <w:szCs w:val="15"/>
              </w:rPr>
              <w:t xml:space="preserve">99%</w:t>
            </w:r>
          </w:p>
        </w:tc>
        <w:tc>
          <w:tcPr>
            <w:tcW w:type="dxa" w:w="101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&lt;0.001</w:t>
            </w:r>
          </w:p>
        </w:tc>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0.958 (0.937-0.979)</w:t>
            </w:r>
          </w:p>
        </w:tc>
      </w:tr>
      <w:tr>
        <w:tc>
          <w:tcPr>
            <w:tcW w:type="dxa" w:w="203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330"/>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59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179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Random-effects</w:t>
            </w:r>
          </w:p>
        </w:tc>
        <w:tc>
          <w:tcPr>
            <w:tcW w:type="dxa" w:w="29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0.415 (0.001-210.57)</w:t>
            </w:r>
          </w:p>
        </w:tc>
        <w:tc>
          <w:tcPr>
            <w:tcW w:type="dxa" w:w="896"/>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100%</w:t>
            </w:r>
          </w:p>
        </w:tc>
        <w:tc>
          <w:tcPr>
            <w:tcW w:type="dxa" w:w="101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&lt;0.001</w:t>
            </w:r>
          </w:p>
        </w:tc>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0.677 (0.654-0.701)</w:t>
            </w:r>
          </w:p>
        </w:tc>
      </w:tr>
      <w:tr>
        <w:tc>
          <w:tcPr>
            <w:tcW w:type="dxa" w:w="203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33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59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179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Random-effects</w:t>
            </w:r>
          </w:p>
        </w:tc>
        <w:tc>
          <w:tcPr>
            <w:tcW w:type="dxa" w:w="29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1.252 (0.95-1.651)</w:t>
            </w:r>
          </w:p>
        </w:tc>
        <w:tc>
          <w:tcPr>
            <w:tcW w:type="dxa" w:w="896"/>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w:t>
            </w:r>
          </w:p>
        </w:tc>
        <w:tc>
          <w:tcPr>
            <w:tcW w:type="dxa" w:w="1016"/>
            <w:tcMar>
              <w:top w:type="dxa" w:w="25"/>
              <w:left w:type="dxa" w:w="70"/>
              <w:bottom w:type="dxa" w:w="25"/>
              <w:right w:type="dxa" w:w="70"/>
            </w:tcMar>
          </w:tcPr>
          <w:p>
            <w:r>
              <w:rPr>
                <w:rFonts w:ascii="Malgun Gothic" w:cs="Malgun Gothic" w:eastAsia="Malgun Gothic" w:hAnsi="Malgun Gothic"/>
                <w:b w:val="false"/>
                <w:bCs w:val="false"/>
                <w:sz w:val="15"/>
                <w:szCs w:val="15"/>
              </w:rPr>
              <w:t xml:space="preserve">0.290</w:t>
            </w:r>
          </w:p>
        </w:tc>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1.211 (1.123-1.305)</w:t>
            </w:r>
          </w:p>
        </w:tc>
      </w:tr>
      <w:tr>
        <w:tc>
          <w:tcPr>
            <w:tcW w:type="dxa" w:w="203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233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59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179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Random-effects</w:t>
            </w:r>
          </w:p>
        </w:tc>
        <w:tc>
          <w:tcPr>
            <w:tcW w:type="dxa" w:w="29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1.695 (0.814-3.533)</w:t>
            </w:r>
          </w:p>
        </w:tc>
        <w:tc>
          <w:tcPr>
            <w:tcW w:type="dxa" w:w="896"/>
            <w:tcMar>
              <w:top w:type="dxa" w:w="25"/>
              <w:left w:type="dxa" w:w="70"/>
              <w:bottom w:type="dxa" w:w="25"/>
              <w:right w:type="dxa" w:w="70"/>
            </w:tcMar>
          </w:tcPr>
          <w:p>
            <w:r>
              <w:rPr>
                <w:rFonts w:ascii="Malgun Gothic" w:cs="Malgun Gothic" w:eastAsia="Malgun Gothic" w:hAnsi="Malgun Gothic"/>
                <w:b w:val="false"/>
                <w:bCs w:val="false"/>
                <w:sz w:val="15"/>
                <w:szCs w:val="15"/>
              </w:rPr>
              <w:t xml:space="preserve">96%</w:t>
            </w:r>
          </w:p>
        </w:tc>
        <w:tc>
          <w:tcPr>
            <w:tcW w:type="dxa" w:w="101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&lt;0.001</w:t>
            </w:r>
          </w:p>
        </w:tc>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1.796 (1.74-1.853)</w:t>
            </w:r>
          </w:p>
        </w:tc>
      </w:tr>
      <w:tr>
        <w:tc>
          <w:tcPr>
            <w:tcW w:type="dxa" w:w="203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233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59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179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Random-effects</w:t>
            </w:r>
          </w:p>
        </w:tc>
        <w:tc>
          <w:tcPr>
            <w:tcW w:type="dxa" w:w="29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0.759 (0.286-2.02)</w:t>
            </w:r>
          </w:p>
        </w:tc>
        <w:tc>
          <w:tcPr>
            <w:tcW w:type="dxa" w:w="896"/>
            <w:tcMar>
              <w:top w:type="dxa" w:w="25"/>
              <w:left w:type="dxa" w:w="70"/>
              <w:bottom w:type="dxa" w:w="25"/>
              <w:right w:type="dxa" w:w="70"/>
            </w:tcMar>
          </w:tcPr>
          <w:p>
            <w:r>
              <w:rPr>
                <w:rFonts w:ascii="Malgun Gothic" w:cs="Malgun Gothic" w:eastAsia="Malgun Gothic" w:hAnsi="Malgun Gothic"/>
                <w:b w:val="false"/>
                <w:bCs w:val="false"/>
                <w:sz w:val="15"/>
                <w:szCs w:val="15"/>
              </w:rPr>
              <w:t xml:space="preserve">99%</w:t>
            </w:r>
          </w:p>
        </w:tc>
        <w:tc>
          <w:tcPr>
            <w:tcW w:type="dxa" w:w="101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&lt;0.001</w:t>
            </w:r>
          </w:p>
        </w:tc>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 (0.805-0.836)</w:t>
            </w:r>
          </w:p>
        </w:tc>
      </w:tr>
      <w:tr>
        <w:tc>
          <w:tcPr>
            <w:tcW w:type="dxa" w:w="203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33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59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179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Random-effects</w:t>
            </w:r>
          </w:p>
        </w:tc>
        <w:tc>
          <w:tcPr>
            <w:tcW w:type="dxa" w:w="29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0.775 (0.176-3.41)</w:t>
            </w:r>
          </w:p>
        </w:tc>
        <w:tc>
          <w:tcPr>
            <w:tcW w:type="dxa" w:w="896"/>
            <w:tcMar>
              <w:top w:type="dxa" w:w="25"/>
              <w:left w:type="dxa" w:w="70"/>
              <w:bottom w:type="dxa" w:w="25"/>
              <w:right w:type="dxa" w:w="70"/>
            </w:tcMar>
          </w:tcPr>
          <w:p>
            <w:r>
              <w:rPr>
                <w:rFonts w:ascii="Malgun Gothic" w:cs="Malgun Gothic" w:eastAsia="Malgun Gothic" w:hAnsi="Malgun Gothic"/>
                <w:b w:val="false"/>
                <w:bCs w:val="false"/>
                <w:sz w:val="15"/>
                <w:szCs w:val="15"/>
              </w:rPr>
              <w:t xml:space="preserve">99%</w:t>
            </w:r>
          </w:p>
        </w:tc>
        <w:tc>
          <w:tcPr>
            <w:tcW w:type="dxa" w:w="101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&lt;0.001</w:t>
            </w:r>
          </w:p>
        </w:tc>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 (0.855-0.885)</w:t>
            </w:r>
          </w:p>
        </w:tc>
      </w:tr>
      <w:tr>
        <w:tc>
          <w:tcPr>
            <w:tcW w:type="dxa" w:w="203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33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59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179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Random-effects</w:t>
            </w:r>
          </w:p>
        </w:tc>
        <w:tc>
          <w:tcPr>
            <w:tcW w:type="dxa" w:w="29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0.798 (0.305-2.091)</w:t>
            </w:r>
          </w:p>
        </w:tc>
        <w:tc>
          <w:tcPr>
            <w:tcW w:type="dxa" w:w="896"/>
            <w:tcMar>
              <w:top w:type="dxa" w:w="25"/>
              <w:left w:type="dxa" w:w="70"/>
              <w:bottom w:type="dxa" w:w="25"/>
              <w:right w:type="dxa" w:w="70"/>
            </w:tcMar>
          </w:tcPr>
          <w:p>
            <w:r>
              <w:rPr>
                <w:rFonts w:ascii="Malgun Gothic" w:cs="Malgun Gothic" w:eastAsia="Malgun Gothic" w:hAnsi="Malgun Gothic"/>
                <w:b w:val="false"/>
                <w:bCs w:val="false"/>
                <w:sz w:val="15"/>
                <w:szCs w:val="15"/>
              </w:rPr>
              <w:t xml:space="preserve">98%</w:t>
            </w:r>
          </w:p>
        </w:tc>
        <w:tc>
          <w:tcPr>
            <w:tcW w:type="dxa" w:w="101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&lt;0.001</w:t>
            </w:r>
          </w:p>
        </w:tc>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(0.845-0.875)</w:t>
            </w:r>
          </w:p>
        </w:tc>
      </w:tr>
      <w:tr>
        <w:tc>
          <w:tcPr>
            <w:tcW w:type="dxa" w:w="203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330"/>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59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179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Random-effects</w:t>
            </w:r>
          </w:p>
        </w:tc>
        <w:tc>
          <w:tcPr>
            <w:tcW w:type="dxa" w:w="29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0.687 (0.135-3.486)</w:t>
            </w:r>
          </w:p>
        </w:tc>
        <w:tc>
          <w:tcPr>
            <w:tcW w:type="dxa" w:w="896"/>
            <w:tcMar>
              <w:top w:type="dxa" w:w="25"/>
              <w:left w:type="dxa" w:w="70"/>
              <w:bottom w:type="dxa" w:w="25"/>
              <w:right w:type="dxa" w:w="70"/>
            </w:tcMar>
          </w:tcPr>
          <w:p>
            <w:r>
              <w:rPr>
                <w:rFonts w:ascii="Malgun Gothic" w:cs="Malgun Gothic" w:eastAsia="Malgun Gothic" w:hAnsi="Malgun Gothic"/>
                <w:b w:val="false"/>
                <w:bCs w:val="false"/>
                <w:sz w:val="15"/>
                <w:szCs w:val="15"/>
              </w:rPr>
              <w:t xml:space="preserve">99%</w:t>
            </w:r>
          </w:p>
        </w:tc>
        <w:tc>
          <w:tcPr>
            <w:tcW w:type="dxa" w:w="101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&lt;0.001</w:t>
            </w:r>
          </w:p>
        </w:tc>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0.78 (0.765-0.795)</w:t>
            </w:r>
          </w:p>
        </w:tc>
      </w:tr>
      <w:tr>
        <w:tc>
          <w:tcPr>
            <w:tcW w:type="dxa" w:w="203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33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59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179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Random-effects</w:t>
            </w:r>
          </w:p>
        </w:tc>
        <w:tc>
          <w:tcPr>
            <w:tcW w:type="dxa" w:w="29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1.07 (0.539-2.124)</w:t>
            </w:r>
          </w:p>
        </w:tc>
        <w:tc>
          <w:tcPr>
            <w:tcW w:type="dxa" w:w="896"/>
            <w:tcMar>
              <w:top w:type="dxa" w:w="25"/>
              <w:left w:type="dxa" w:w="70"/>
              <w:bottom w:type="dxa" w:w="25"/>
              <w:right w:type="dxa" w:w="70"/>
            </w:tcMar>
          </w:tcPr>
          <w:p>
            <w:r>
              <w:rPr>
                <w:rFonts w:ascii="Malgun Gothic" w:cs="Malgun Gothic" w:eastAsia="Malgun Gothic" w:hAnsi="Malgun Gothic"/>
                <w:b w:val="false"/>
                <w:bCs w:val="false"/>
                <w:sz w:val="15"/>
                <w:szCs w:val="15"/>
              </w:rPr>
              <w:t xml:space="preserve">79%</w:t>
            </w:r>
          </w:p>
        </w:tc>
        <w:tc>
          <w:tcPr>
            <w:tcW w:type="dxa" w:w="1016"/>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0.030</w:t>
            </w:r>
          </w:p>
        </w:tc>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1.12 (1.081-1.161)</w:t>
            </w:r>
          </w:p>
        </w:tc>
      </w:tr>
      <w:tr>
        <w:tc>
          <w:tcPr>
            <w:tcW w:type="dxa" w:w="203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330"/>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59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179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Random-effects</w:t>
            </w:r>
          </w:p>
        </w:tc>
        <w:tc>
          <w:tcPr>
            <w:tcW w:type="dxa" w:w="29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0.794 (0.133-4.731)</w:t>
            </w:r>
          </w:p>
        </w:tc>
        <w:tc>
          <w:tcPr>
            <w:tcW w:type="dxa" w:w="896"/>
            <w:tcMar>
              <w:top w:type="dxa" w:w="25"/>
              <w:left w:type="dxa" w:w="70"/>
              <w:bottom w:type="dxa" w:w="25"/>
              <w:right w:type="dxa" w:w="70"/>
            </w:tcMar>
          </w:tcPr>
          <w:p>
            <w:r>
              <w:rPr>
                <w:rFonts w:ascii="Malgun Gothic" w:cs="Malgun Gothic" w:eastAsia="Malgun Gothic" w:hAnsi="Malgun Gothic"/>
                <w:b w:val="false"/>
                <w:bCs w:val="false"/>
                <w:sz w:val="15"/>
                <w:szCs w:val="15"/>
              </w:rPr>
              <w:t xml:space="preserve">97%</w:t>
            </w:r>
          </w:p>
        </w:tc>
        <w:tc>
          <w:tcPr>
            <w:tcW w:type="dxa" w:w="101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&lt;0.001</w:t>
            </w:r>
          </w:p>
        </w:tc>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0.91 (0.88-0.941)</w:t>
            </w:r>
          </w:p>
        </w:tc>
      </w:tr>
      <w:tr>
        <w:tc>
          <w:tcPr>
            <w:tcW w:type="dxa" w:w="203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233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598"/>
            <w:tcMar>
              <w:top w:type="dxa" w:w="25"/>
              <w:left w:type="dxa" w:w="70"/>
              <w:bottom w:type="dxa" w:w="25"/>
              <w:right w:type="dxa" w:w="70"/>
            </w:tcMar>
          </w:tcPr>
          <w:p>
            <w:r>
              <w:rPr>
                <w:rFonts w:ascii="Malgun Gothic" w:cs="Malgun Gothic" w:eastAsia="Malgun Gothic" w:hAnsi="Malgun Gothic"/>
                <w:b w:val="false"/>
                <w:bCs w:val="false"/>
                <w:sz w:val="15"/>
                <w:szCs w:val="15"/>
              </w:rPr>
              <w:t xml:space="preserve">3</w:t>
            </w:r>
          </w:p>
        </w:tc>
        <w:tc>
          <w:tcPr>
            <w:tcW w:type="dxa" w:w="179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Random-effects</w:t>
            </w:r>
          </w:p>
        </w:tc>
        <w:tc>
          <w:tcPr>
            <w:tcW w:type="dxa" w:w="29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0.712 (0.551-0.92)</w:t>
            </w:r>
          </w:p>
        </w:tc>
        <w:tc>
          <w:tcPr>
            <w:tcW w:type="dxa" w:w="896"/>
            <w:tcMar>
              <w:top w:type="dxa" w:w="25"/>
              <w:left w:type="dxa" w:w="70"/>
              <w:bottom w:type="dxa" w:w="25"/>
              <w:right w:type="dxa" w:w="70"/>
            </w:tcMar>
          </w:tcPr>
          <w:p>
            <w:r>
              <w:rPr>
                <w:rFonts w:ascii="Malgun Gothic" w:cs="Malgun Gothic" w:eastAsia="Malgun Gothic" w:hAnsi="Malgun Gothic"/>
                <w:b w:val="false"/>
                <w:bCs w:val="false"/>
                <w:sz w:val="15"/>
                <w:szCs w:val="15"/>
              </w:rPr>
              <w:t xml:space="preserve">90%</w:t>
            </w:r>
          </w:p>
        </w:tc>
        <w:tc>
          <w:tcPr>
            <w:tcW w:type="dxa" w:w="101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&lt;0.001</w:t>
            </w:r>
          </w:p>
        </w:tc>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 (0.68-0.72)</w:t>
            </w:r>
          </w:p>
        </w:tc>
      </w:tr>
      <w:tr>
        <w:tc>
          <w:tcPr>
            <w:tcW w:type="dxa" w:w="203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233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598"/>
            <w:tcMar>
              <w:top w:type="dxa" w:w="25"/>
              <w:left w:type="dxa" w:w="70"/>
              <w:bottom w:type="dxa" w:w="25"/>
              <w:right w:type="dxa" w:w="70"/>
            </w:tcMar>
          </w:tcPr>
          <w:p>
            <w:r>
              <w:rPr>
                <w:rFonts w:ascii="Malgun Gothic" w:cs="Malgun Gothic" w:eastAsia="Malgun Gothic" w:hAnsi="Malgun Gothic"/>
                <w:b w:val="false"/>
                <w:bCs w:val="false"/>
                <w:sz w:val="15"/>
                <w:szCs w:val="15"/>
              </w:rPr>
              <w:t xml:space="preserve">4</w:t>
            </w:r>
          </w:p>
        </w:tc>
        <w:tc>
          <w:tcPr>
            <w:tcW w:type="dxa" w:w="179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Random-effects</w:t>
            </w:r>
          </w:p>
        </w:tc>
        <w:tc>
          <w:tcPr>
            <w:tcW w:type="dxa" w:w="29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1.968 (1.815-2.134)</w:t>
            </w:r>
          </w:p>
        </w:tc>
        <w:tc>
          <w:tcPr>
            <w:tcW w:type="dxa" w:w="896"/>
            <w:tcMar>
              <w:top w:type="dxa" w:w="25"/>
              <w:left w:type="dxa" w:w="70"/>
              <w:bottom w:type="dxa" w:w="25"/>
              <w:right w:type="dxa" w:w="70"/>
            </w:tcMar>
          </w:tcPr>
          <w:p>
            <w:r>
              <w:rPr>
                <w:rFonts w:ascii="Malgun Gothic" w:cs="Malgun Gothic" w:eastAsia="Malgun Gothic" w:hAnsi="Malgun Gothic"/>
                <w:b w:val="false"/>
                <w:bCs w:val="false"/>
                <w:sz w:val="15"/>
                <w:szCs w:val="15"/>
              </w:rPr>
              <w:t xml:space="preserve">84%</w:t>
            </w:r>
          </w:p>
        </w:tc>
        <w:tc>
          <w:tcPr>
            <w:tcW w:type="dxa" w:w="101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&lt;0.001</w:t>
            </w:r>
          </w:p>
        </w:tc>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1.95 (1.925-1.975)</w:t>
            </w:r>
          </w:p>
        </w:tc>
      </w:tr>
      <w:tr>
        <w:tc>
          <w:tcPr>
            <w:tcW w:type="dxa" w:w="203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2330"/>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598"/>
            <w:tcMar>
              <w:top w:type="dxa" w:w="25"/>
              <w:left w:type="dxa" w:w="70"/>
              <w:bottom w:type="dxa" w:w="25"/>
              <w:right w:type="dxa" w:w="70"/>
            </w:tcMar>
          </w:tcPr>
          <w:p>
            <w:r>
              <w:rPr>
                <w:rFonts w:ascii="Malgun Gothic" w:cs="Malgun Gothic" w:eastAsia="Malgun Gothic" w:hAnsi="Malgun Gothic"/>
                <w:b w:val="false"/>
                <w:bCs w:val="false"/>
                <w:sz w:val="15"/>
                <w:szCs w:val="15"/>
              </w:rPr>
              <w:t xml:space="preserve">3</w:t>
            </w:r>
          </w:p>
        </w:tc>
        <w:tc>
          <w:tcPr>
            <w:tcW w:type="dxa" w:w="179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Random-effects</w:t>
            </w:r>
          </w:p>
        </w:tc>
        <w:tc>
          <w:tcPr>
            <w:tcW w:type="dxa" w:w="29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0.878 (0.746-1.034)</w:t>
            </w:r>
          </w:p>
        </w:tc>
        <w:tc>
          <w:tcPr>
            <w:tcW w:type="dxa" w:w="896"/>
            <w:tcMar>
              <w:top w:type="dxa" w:w="25"/>
              <w:left w:type="dxa" w:w="70"/>
              <w:bottom w:type="dxa" w:w="25"/>
              <w:right w:type="dxa" w:w="70"/>
            </w:tcMar>
          </w:tcPr>
          <w:p>
            <w:r>
              <w:rPr>
                <w:rFonts w:ascii="Malgun Gothic" w:cs="Malgun Gothic" w:eastAsia="Malgun Gothic" w:hAnsi="Malgun Gothic"/>
                <w:b w:val="false"/>
                <w:bCs w:val="false"/>
                <w:sz w:val="15"/>
                <w:szCs w:val="15"/>
              </w:rPr>
              <w:t xml:space="preserve">89%</w:t>
            </w:r>
          </w:p>
        </w:tc>
        <w:tc>
          <w:tcPr>
            <w:tcW w:type="dxa" w:w="101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&lt;0.001</w:t>
            </w:r>
          </w:p>
        </w:tc>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(0.84-0.88)</w:t>
            </w:r>
          </w:p>
        </w:tc>
      </w:tr>
    </w:tbl>
    <w:p>
      <w:pPr>
        <w:spacing w:after="80"/>
      </w:pPr>
    </w:p>
    <w:p>
      <w:pPr>
        <w:spacing w:after="80"/>
      </w:pPr>
      <w:r>
        <w:rPr>
          <w:rFonts w:ascii="Malgun Gothic" w:cs="Malgun Gothic" w:eastAsia="Malgun Gothic" w:hAnsi="Malgun Gothic"/>
          <w:i/>
          <w:iCs/>
          <w:sz w:val="18"/>
          <w:szCs w:val="18"/>
        </w:rPr>
        <w:t xml:space="preserve">k = number of overlapping estimates pooled. Model = random-effects for every cell (Paule-Mandel/REML τ² with a Hartung-Knapp-Sidik-Jonkman confidence interval); no fixed-effect model was used. Sensitivity IRR = all k estimates pooled. I² and Q p = the between-study heterogeneity of the all-included (sensitivity) pool; Q p is the p-value of Cochran's Q (χ² with k−1 df). The very high I² / small Q p here reflect repeated inclusion of non-independent, overlapping registry data rather than genuine between-study heterogeneity — which is why it is NOT treated as inconsistency in the GRADE framework (Table 6) and why the main analysis collapses to one representative per registry family. Main IRR = that single representative, which removes the non-independence. For cells with k &lt; 3 the HKSJ interval (t with k−1 df) is unstable and over-wide, so read the point estimate rather than the interval. Only cells with ≥ 2 overlapping estimates appear here.</w:t>
      </w:r>
    </w:p>
    <w:p>
      <w:pPr>
        <w:spacing w:after="80"/>
      </w:pPr>
      <w:r>
        <w:rPr>
          <w:rFonts w:ascii="Malgun Gothic" w:cs="Malgun Gothic" w:eastAsia="Malgun Gothic" w:hAnsi="Malgun Gothic"/>
          <w:i/>
          <w:iCs/>
          <w:sz w:val="18"/>
          <w:szCs w:val="18"/>
        </w:rPr>
        <w:t xml:space="preserve">Estimator comparison (τ² method and confidence-interval method) for every cell with ≥2 overlapping estimates. Cells marked * have k &lt; 3, where the Hartung-Knapp interval (t with k−1 df) is unstable; read the point estimate.</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2618"/>
        <w:gridCol w:w="655"/>
        <w:gridCol w:w="3164"/>
        <w:gridCol w:w="982"/>
        <w:gridCol w:w="3164"/>
        <w:gridCol w:w="982"/>
        <w:gridCol w:w="2073"/>
        <w:gridCol w:w="764"/>
      </w:tblGrid>
      <w:tr>
        <w:trPr>
          <w:tblHeader/>
        </w:trPr>
        <w:tc>
          <w:tcPr>
            <w:tcW w:type="dxa" w:w="2618"/>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655"/>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k</w:t>
            </w:r>
          </w:p>
        </w:tc>
        <w:tc>
          <w:tcPr>
            <w:tcW w:type="dxa" w:w="3164"/>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DerSimonian-Laird IRR (95% CI)</w:t>
            </w:r>
          </w:p>
        </w:tc>
        <w:tc>
          <w:tcPr>
            <w:tcW w:type="dxa" w:w="982"/>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DL τ²</w:t>
            </w:r>
          </w:p>
        </w:tc>
        <w:tc>
          <w:tcPr>
            <w:tcW w:type="dxa" w:w="3164"/>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Paule-Mandel / REML IRR (95% CI)</w:t>
            </w:r>
          </w:p>
        </w:tc>
        <w:tc>
          <w:tcPr>
            <w:tcW w:type="dxa" w:w="982"/>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PM τ²</w:t>
            </w:r>
          </w:p>
        </w:tc>
        <w:tc>
          <w:tcPr>
            <w:tcW w:type="dxa" w:w="207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HKSJ 95% CI</w:t>
            </w:r>
          </w:p>
        </w:tc>
        <w:tc>
          <w:tcPr>
            <w:tcW w:type="dxa" w:w="764"/>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I²</w:t>
            </w:r>
          </w:p>
        </w:tc>
      </w:tr>
      <w:tr>
        <w:tc>
          <w:tcPr>
            <w:tcW w:type="dxa" w:w="261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655"/>
            <w:tcMar>
              <w:top w:type="dxa" w:w="25"/>
              <w:left w:type="dxa" w:w="70"/>
              <w:bottom w:type="dxa" w:w="25"/>
              <w:right w:type="dxa" w:w="70"/>
            </w:tcMar>
          </w:tcPr>
          <w:p>
            <w:r>
              <w:rPr>
                <w:rFonts w:ascii="Malgun Gothic" w:cs="Malgun Gothic" w:eastAsia="Malgun Gothic" w:hAnsi="Malgun Gothic"/>
                <w:b w:val="false"/>
                <w:bCs w:val="false"/>
                <w:sz w:val="15"/>
                <w:szCs w:val="15"/>
              </w:rPr>
              <w:t xml:space="preserve">7</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0.695 (0.614-0.786)</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0.0268</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0.695 (0.620-0.779)</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0.0229</w:t>
            </w:r>
          </w:p>
        </w:tc>
        <w:tc>
          <w:tcPr>
            <w:tcW w:type="dxa" w:w="20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0.603-0.802</w:t>
            </w:r>
          </w:p>
        </w:tc>
        <w:tc>
          <w:tcPr>
            <w:tcW w:type="dxa" w:w="7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99%</w:t>
            </w:r>
          </w:p>
        </w:tc>
      </w:tr>
      <w:tr>
        <w:tc>
          <w:tcPr>
            <w:tcW w:type="dxa" w:w="261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655"/>
            <w:tcMar>
              <w:top w:type="dxa" w:w="25"/>
              <w:left w:type="dxa" w:w="70"/>
              <w:bottom w:type="dxa" w:w="25"/>
              <w:right w:type="dxa" w:w="70"/>
            </w:tcMar>
          </w:tcPr>
          <w:p>
            <w:r>
              <w:rPr>
                <w:rFonts w:ascii="Malgun Gothic" w:cs="Malgun Gothic" w:eastAsia="Malgun Gothic" w:hAnsi="Malgun Gothic"/>
                <w:b w:val="false"/>
                <w:bCs w:val="false"/>
                <w:sz w:val="15"/>
                <w:szCs w:val="15"/>
              </w:rPr>
              <w:t xml:space="preserve">6</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0.798 (0.743-0.856)</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0.0077</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0.798 (0.741-0.859)</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0.0084</w:t>
            </w:r>
          </w:p>
        </w:tc>
        <w:tc>
          <w:tcPr>
            <w:tcW w:type="dxa" w:w="20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0.724-0.878</w:t>
            </w:r>
          </w:p>
        </w:tc>
        <w:tc>
          <w:tcPr>
            <w:tcW w:type="dxa" w:w="7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100%</w:t>
            </w:r>
          </w:p>
        </w:tc>
      </w:tr>
      <w:tr>
        <w:tc>
          <w:tcPr>
            <w:tcW w:type="dxa" w:w="2618"/>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655"/>
            <w:tcMar>
              <w:top w:type="dxa" w:w="25"/>
              <w:left w:type="dxa" w:w="70"/>
              <w:bottom w:type="dxa" w:w="25"/>
              <w:right w:type="dxa" w:w="70"/>
            </w:tcMar>
          </w:tcPr>
          <w:p>
            <w:r>
              <w:rPr>
                <w:rFonts w:ascii="Malgun Gothic" w:cs="Malgun Gothic" w:eastAsia="Malgun Gothic" w:hAnsi="Malgun Gothic"/>
                <w:b w:val="false"/>
                <w:bCs w:val="false"/>
                <w:sz w:val="15"/>
                <w:szCs w:val="15"/>
              </w:rPr>
              <w:t xml:space="preserve">9</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0.951 (0.937-0.964)</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0.0004</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0.951 (0.938-0.963)</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0.0004</w:t>
            </w:r>
          </w:p>
        </w:tc>
        <w:tc>
          <w:tcPr>
            <w:tcW w:type="dxa" w:w="20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0.936-0.965</w:t>
            </w:r>
          </w:p>
        </w:tc>
        <w:tc>
          <w:tcPr>
            <w:tcW w:type="dxa" w:w="7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96%</w:t>
            </w:r>
          </w:p>
        </w:tc>
      </w:tr>
      <w:tr>
        <w:tc>
          <w:tcPr>
            <w:tcW w:type="dxa" w:w="261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655"/>
            <w:tcMar>
              <w:top w:type="dxa" w:w="25"/>
              <w:left w:type="dxa" w:w="70"/>
              <w:bottom w:type="dxa" w:w="25"/>
              <w:right w:type="dxa" w:w="70"/>
            </w:tcMar>
          </w:tcPr>
          <w:p>
            <w:r>
              <w:rPr>
                <w:rFonts w:ascii="Malgun Gothic" w:cs="Malgun Gothic" w:eastAsia="Malgun Gothic" w:hAnsi="Malgun Gothic"/>
                <w:b w:val="false"/>
                <w:bCs w:val="false"/>
                <w:sz w:val="15"/>
                <w:szCs w:val="15"/>
              </w:rPr>
              <w:t xml:space="preserve">7</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0.719 (0.691-0.748)</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0.0028</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0.719 (0.683-0.756)</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0.0046</w:t>
            </w:r>
          </w:p>
        </w:tc>
        <w:tc>
          <w:tcPr>
            <w:tcW w:type="dxa" w:w="20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0.675-0.765</w:t>
            </w:r>
          </w:p>
        </w:tc>
        <w:tc>
          <w:tcPr>
            <w:tcW w:type="dxa" w:w="7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99%</w:t>
            </w:r>
          </w:p>
        </w:tc>
      </w:tr>
      <w:tr>
        <w:tc>
          <w:tcPr>
            <w:tcW w:type="dxa" w:w="261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655"/>
            <w:tcMar>
              <w:top w:type="dxa" w:w="25"/>
              <w:left w:type="dxa" w:w="70"/>
              <w:bottom w:type="dxa" w:w="25"/>
              <w:right w:type="dxa" w:w="70"/>
            </w:tcMar>
          </w:tcPr>
          <w:p>
            <w:r>
              <w:rPr>
                <w:rFonts w:ascii="Malgun Gothic" w:cs="Malgun Gothic" w:eastAsia="Malgun Gothic" w:hAnsi="Malgun Gothic"/>
                <w:b w:val="false"/>
                <w:bCs w:val="false"/>
                <w:sz w:val="15"/>
                <w:szCs w:val="15"/>
              </w:rPr>
              <w:t xml:space="preserve">3</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0.714 (0.645-0.790)</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0.0068</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0.712 (0.634-0.801)</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0.0094</w:t>
            </w:r>
          </w:p>
        </w:tc>
        <w:tc>
          <w:tcPr>
            <w:tcW w:type="dxa" w:w="20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0.551-0.920</w:t>
            </w:r>
          </w:p>
        </w:tc>
        <w:tc>
          <w:tcPr>
            <w:tcW w:type="dxa" w:w="7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90%</w:t>
            </w:r>
          </w:p>
        </w:tc>
      </w:tr>
      <w:tr>
        <w:tc>
          <w:tcPr>
            <w:tcW w:type="dxa" w:w="2618"/>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655"/>
            <w:tcMar>
              <w:top w:type="dxa" w:w="25"/>
              <w:left w:type="dxa" w:w="70"/>
              <w:bottom w:type="dxa" w:w="25"/>
              <w:right w:type="dxa" w:w="70"/>
            </w:tcMar>
          </w:tcPr>
          <w:p>
            <w:r>
              <w:rPr>
                <w:rFonts w:ascii="Malgun Gothic" w:cs="Malgun Gothic" w:eastAsia="Malgun Gothic" w:hAnsi="Malgun Gothic"/>
                <w:b w:val="false"/>
                <w:bCs w:val="false"/>
                <w:sz w:val="15"/>
                <w:szCs w:val="15"/>
              </w:rPr>
              <w:t xml:space="preserve">4</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1.976 (1.912-2.042)</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0.0008</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1.968 (1.872-2.069)</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0.0023</w:t>
            </w:r>
          </w:p>
        </w:tc>
        <w:tc>
          <w:tcPr>
            <w:tcW w:type="dxa" w:w="20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1.815-2.134</w:t>
            </w:r>
          </w:p>
        </w:tc>
        <w:tc>
          <w:tcPr>
            <w:tcW w:type="dxa" w:w="7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84%</w:t>
            </w:r>
          </w:p>
        </w:tc>
      </w:tr>
      <w:tr>
        <w:tc>
          <w:tcPr>
            <w:tcW w:type="dxa" w:w="261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655"/>
            <w:tcMar>
              <w:top w:type="dxa" w:w="25"/>
              <w:left w:type="dxa" w:w="70"/>
              <w:bottom w:type="dxa" w:w="25"/>
              <w:right w:type="dxa" w:w="70"/>
            </w:tcMar>
          </w:tcPr>
          <w:p>
            <w:r>
              <w:rPr>
                <w:rFonts w:ascii="Malgun Gothic" w:cs="Malgun Gothic" w:eastAsia="Malgun Gothic" w:hAnsi="Malgun Gothic"/>
                <w:b w:val="false"/>
                <w:bCs w:val="false"/>
                <w:sz w:val="15"/>
                <w:szCs w:val="15"/>
              </w:rPr>
              <w:t xml:space="preserve">3</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0.878 (0.818-0.944)</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0.0034</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0.878 (0.815-0.946)</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0.0037</w:t>
            </w:r>
          </w:p>
        </w:tc>
        <w:tc>
          <w:tcPr>
            <w:tcW w:type="dxa" w:w="20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0.746-1.034</w:t>
            </w:r>
          </w:p>
        </w:tc>
        <w:tc>
          <w:tcPr>
            <w:tcW w:type="dxa" w:w="7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89%</w:t>
            </w:r>
          </w:p>
        </w:tc>
      </w:tr>
      <w:tr>
        <w:tc>
          <w:tcPr>
            <w:tcW w:type="dxa" w:w="261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655"/>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1.021 (0.894-1.166)</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0.0062</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1.021 (0.894-1.166)</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0.0062</w:t>
            </w:r>
          </w:p>
        </w:tc>
        <w:tc>
          <w:tcPr>
            <w:tcW w:type="dxa" w:w="20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0.432-2.412</w:t>
            </w:r>
          </w:p>
        </w:tc>
        <w:tc>
          <w:tcPr>
            <w:tcW w:type="dxa" w:w="7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68%</w:t>
            </w:r>
          </w:p>
        </w:tc>
      </w:tr>
      <w:tr>
        <w:tc>
          <w:tcPr>
            <w:tcW w:type="dxa" w:w="2618"/>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655"/>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1.337 (1.037-1.723)</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0.0314</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1.337 (1.037-1.723)</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0.0314</w:t>
            </w:r>
          </w:p>
        </w:tc>
        <w:tc>
          <w:tcPr>
            <w:tcW w:type="dxa" w:w="20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0.258-6.919</w:t>
            </w:r>
          </w:p>
        </w:tc>
        <w:tc>
          <w:tcPr>
            <w:tcW w:type="dxa" w:w="7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93%</w:t>
            </w:r>
          </w:p>
        </w:tc>
      </w:tr>
      <w:tr>
        <w:tc>
          <w:tcPr>
            <w:tcW w:type="dxa" w:w="261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655"/>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0.766 (0.492-1.192)</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0.1009</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0.766 (0.492-1.192)</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0.1009</w:t>
            </w:r>
          </w:p>
        </w:tc>
        <w:tc>
          <w:tcPr>
            <w:tcW w:type="dxa" w:w="20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0.044-13.475</w:t>
            </w:r>
          </w:p>
        </w:tc>
        <w:tc>
          <w:tcPr>
            <w:tcW w:type="dxa" w:w="7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99%</w:t>
            </w:r>
          </w:p>
        </w:tc>
      </w:tr>
      <w:tr>
        <w:tc>
          <w:tcPr>
            <w:tcW w:type="dxa" w:w="2618"/>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655"/>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0.415 (0.159-1.086)</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0.4783</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0.415 (0.159-1.086)</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0.4783</w:t>
            </w:r>
          </w:p>
        </w:tc>
        <w:tc>
          <w:tcPr>
            <w:tcW w:type="dxa" w:w="20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0.001-210.570</w:t>
            </w:r>
          </w:p>
        </w:tc>
        <w:tc>
          <w:tcPr>
            <w:tcW w:type="dxa" w:w="7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100%</w:t>
            </w:r>
          </w:p>
        </w:tc>
      </w:tr>
      <w:tr>
        <w:tc>
          <w:tcPr>
            <w:tcW w:type="dxa" w:w="2618"/>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655"/>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1.252 (1.200-1.307)</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0.0001</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1.252 (1.200-1.307)</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0.0001</w:t>
            </w:r>
          </w:p>
        </w:tc>
        <w:tc>
          <w:tcPr>
            <w:tcW w:type="dxa" w:w="20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0.950-1.651</w:t>
            </w:r>
          </w:p>
        </w:tc>
        <w:tc>
          <w:tcPr>
            <w:tcW w:type="dxa" w:w="7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w:t>
            </w:r>
          </w:p>
        </w:tc>
      </w:tr>
      <w:tr>
        <w:tc>
          <w:tcPr>
            <w:tcW w:type="dxa" w:w="2618"/>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655"/>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1.695 (1.514-1.899)</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0.0064</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1.695 (1.514-1.899)</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0.0064</w:t>
            </w:r>
          </w:p>
        </w:tc>
        <w:tc>
          <w:tcPr>
            <w:tcW w:type="dxa" w:w="20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0.814-3.533</w:t>
            </w:r>
          </w:p>
        </w:tc>
        <w:tc>
          <w:tcPr>
            <w:tcW w:type="dxa" w:w="7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96%</w:t>
            </w:r>
          </w:p>
        </w:tc>
      </w:tr>
      <w:tr>
        <w:tc>
          <w:tcPr>
            <w:tcW w:type="dxa" w:w="2618"/>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655"/>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0.759 (0.653-0.883)</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0.0117</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0.759 (0.653-0.883)</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0.0117</w:t>
            </w:r>
          </w:p>
        </w:tc>
        <w:tc>
          <w:tcPr>
            <w:tcW w:type="dxa" w:w="20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0.286-2.020</w:t>
            </w:r>
          </w:p>
        </w:tc>
        <w:tc>
          <w:tcPr>
            <w:tcW w:type="dxa" w:w="7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99%</w:t>
            </w:r>
          </w:p>
        </w:tc>
      </w:tr>
      <w:tr>
        <w:tc>
          <w:tcPr>
            <w:tcW w:type="dxa" w:w="261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655"/>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0.775 (0.616-0.974)</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0.0270</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0.775 (0.616-0.974)</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0.0270</w:t>
            </w:r>
          </w:p>
        </w:tc>
        <w:tc>
          <w:tcPr>
            <w:tcW w:type="dxa" w:w="20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0.176-3.410</w:t>
            </w:r>
          </w:p>
        </w:tc>
        <w:tc>
          <w:tcPr>
            <w:tcW w:type="dxa" w:w="7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99%</w:t>
            </w:r>
          </w:p>
        </w:tc>
      </w:tr>
      <w:tr>
        <w:tc>
          <w:tcPr>
            <w:tcW w:type="dxa" w:w="2618"/>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655"/>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0.798 (0.688-0.926)</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0.0113</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0.798 (0.688-0.926)</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0.0113</w:t>
            </w:r>
          </w:p>
        </w:tc>
        <w:tc>
          <w:tcPr>
            <w:tcW w:type="dxa" w:w="20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0.305-2.091</w:t>
            </w:r>
          </w:p>
        </w:tc>
        <w:tc>
          <w:tcPr>
            <w:tcW w:type="dxa" w:w="7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98%</w:t>
            </w:r>
          </w:p>
        </w:tc>
      </w:tr>
      <w:tr>
        <w:tc>
          <w:tcPr>
            <w:tcW w:type="dxa" w:w="261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655"/>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0.687 (0.535-0.882)</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0.0325</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0.687 (0.535-0.882)</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0.0325</w:t>
            </w:r>
          </w:p>
        </w:tc>
        <w:tc>
          <w:tcPr>
            <w:tcW w:type="dxa" w:w="20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0.135-3.486</w:t>
            </w:r>
          </w:p>
        </w:tc>
        <w:tc>
          <w:tcPr>
            <w:tcW w:type="dxa" w:w="7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99%</w:t>
            </w:r>
          </w:p>
        </w:tc>
      </w:tr>
      <w:tr>
        <w:tc>
          <w:tcPr>
            <w:tcW w:type="dxa" w:w="2618"/>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655"/>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1.070 (0.962-1.189)</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0.0047</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1.070 (0.962-1.189)</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0.0047</w:t>
            </w:r>
          </w:p>
        </w:tc>
        <w:tc>
          <w:tcPr>
            <w:tcW w:type="dxa" w:w="20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0.539-2.124</w:t>
            </w:r>
          </w:p>
        </w:tc>
        <w:tc>
          <w:tcPr>
            <w:tcW w:type="dxa" w:w="7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79%</w:t>
            </w:r>
          </w:p>
        </w:tc>
      </w:tr>
      <w:tr>
        <w:tc>
          <w:tcPr>
            <w:tcW w:type="dxa" w:w="261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655"/>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0.794 (0.603-1.045)</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0.0382</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0.794 (0.603-1.045)</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0.0382</w:t>
            </w:r>
          </w:p>
        </w:tc>
        <w:tc>
          <w:tcPr>
            <w:tcW w:type="dxa" w:w="20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0.133-4.731</w:t>
            </w:r>
          </w:p>
        </w:tc>
        <w:tc>
          <w:tcPr>
            <w:tcW w:type="dxa" w:w="7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97%</w:t>
            </w:r>
          </w:p>
        </w:tc>
      </w:tr>
    </w:tbl>
    <w:p>
      <w:pPr>
        <w:spacing w:after="80"/>
      </w:pPr>
    </w:p>
    <w:p>
      <w:pPr>
        <w:spacing w:after="80"/>
      </w:pPr>
      <w:r>
        <w:rPr>
          <w:rFonts w:ascii="Malgun Gothic" w:cs="Malgun Gothic" w:eastAsia="Malgun Gothic" w:hAnsi="Malgun Gothic"/>
          <w:i/>
          <w:iCs/>
          <w:sz w:val="18"/>
          <w:szCs w:val="18"/>
        </w:rPr>
        <w:t xml:space="preserve">Across the four cells with ≥3 estimates (non-Hispanic Black, Hispanic, AANHPI, American Indian and Alaska Native), the DerSimonian-Laird and Paule-Mandel/REML pooled IRRs differ by ≤0.001, and the Hartung-Knapp interval is wider than the z-based interval; the pooled estimate is therefore robust to the choice of τ² estimator and interval method. The main analysis nonetheless relies on one representative per registry family rather than these pooled values, because the estimates are not independent.</w:t>
      </w:r>
    </w:p>
    <w:p>
      <w:r>
        <w:br w:type="page"/>
      </w:r>
    </w:p>
    <w:p>
      <w:pPr>
        <w:pStyle w:val="Heading1"/>
        <w:spacing w:after="100" w:before="200"/>
      </w:pPr>
      <w:r>
        <w:rPr>
          <w:rFonts w:ascii="Malgun Gothic" w:cs="Malgun Gothic" w:eastAsia="Malgun Gothic" w:hAnsi="Malgun Gothic"/>
          <w:b/>
          <w:bCs/>
          <w:sz w:val="24"/>
          <w:szCs w:val="24"/>
        </w:rPr>
        <w:t xml:space="preserve">Supplementary Table 9. Sensitivity analyses</w:t>
      </w:r>
    </w:p>
    <w:p>
      <w:pPr>
        <w:spacing w:after="80"/>
      </w:pPr>
      <w:r>
        <w:rPr>
          <w:rFonts w:ascii="Malgun Gothic" w:cs="Malgun Gothic" w:eastAsia="Malgun Gothic" w:hAnsi="Malgun Gothic"/>
          <w:i w:val="false"/>
          <w:iCs w:val="false"/>
          <w:sz w:val="18"/>
          <w:szCs w:val="18"/>
        </w:rPr>
        <w:t xml:space="preserve">Table 9a. Good-RoB-only (Poor studies dropped): 86 of 90 cells unchanged, 0 changed, 4 dropped — all headline results unchanged.</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3185"/>
        <w:gridCol w:w="3600"/>
        <w:gridCol w:w="2769"/>
        <w:gridCol w:w="2769"/>
        <w:gridCol w:w="2077"/>
      </w:tblGrid>
      <w:tr>
        <w:trPr>
          <w:tblHeader/>
        </w:trPr>
        <w:tc>
          <w:tcPr>
            <w:tcW w:type="dxa" w:w="3185"/>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Dimension</w:t>
            </w:r>
          </w:p>
        </w:tc>
        <w:tc>
          <w:tcPr>
            <w:tcW w:type="dxa" w:w="360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2769"/>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Main IRR</w:t>
            </w:r>
          </w:p>
        </w:tc>
        <w:tc>
          <w:tcPr>
            <w:tcW w:type="dxa" w:w="2769"/>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Sens IRR</w:t>
            </w:r>
          </w:p>
        </w:tc>
        <w:tc>
          <w:tcPr>
            <w:tcW w:type="dxa" w:w="2077"/>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Status</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0.647</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0.659</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0.914</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0.660</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bl>
    <w:p>
      <w:pPr>
        <w:spacing w:after="80"/>
      </w:pPr>
    </w:p>
    <w:p>
      <w:pPr>
        <w:spacing w:after="80"/>
      </w:pPr>
      <w:r>
        <w:rPr>
          <w:rFonts w:ascii="Malgun Gothic" w:cs="Malgun Gothic" w:eastAsia="Malgun Gothic" w:hAnsi="Malgun Gothic"/>
          <w:i w:val="false"/>
          <w:iCs w:val="false"/>
          <w:sz w:val="18"/>
          <w:szCs w:val="18"/>
        </w:rPr>
        <w:t xml:space="preserve">Table 9b. Directly-reported-only (computed estimates dropped): 51 unchanged, 5 changed, 34 dropped — most disaggregated/subtype cells rely on computed rates (registries report rates, not ratios).</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3185"/>
        <w:gridCol w:w="3600"/>
        <w:gridCol w:w="2769"/>
        <w:gridCol w:w="2769"/>
        <w:gridCol w:w="2077"/>
      </w:tblGrid>
      <w:tr>
        <w:trPr>
          <w:tblHeader/>
        </w:trPr>
        <w:tc>
          <w:tcPr>
            <w:tcW w:type="dxa" w:w="3185"/>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Dimension</w:t>
            </w:r>
          </w:p>
        </w:tc>
        <w:tc>
          <w:tcPr>
            <w:tcW w:type="dxa" w:w="360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2769"/>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Main IRR</w:t>
            </w:r>
          </w:p>
        </w:tc>
        <w:tc>
          <w:tcPr>
            <w:tcW w:type="dxa" w:w="2769"/>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Sens IRR</w:t>
            </w:r>
          </w:p>
        </w:tc>
        <w:tc>
          <w:tcPr>
            <w:tcW w:type="dxa" w:w="2077"/>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Status</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0.683</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0.92</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0.933</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0.97</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0.718</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0.75</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0.958</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bl>
    <w:p>
      <w:pPr>
        <w:spacing w:after="80"/>
      </w:pPr>
    </w:p>
    <w:p>
      <w:pPr>
        <w:spacing w:after="80"/>
      </w:pPr>
      <w:r>
        <w:rPr>
          <w:rFonts w:ascii="Malgun Gothic" w:cs="Malgun Gothic" w:eastAsia="Malgun Gothic" w:hAnsi="Malgun Gothic"/>
          <w:i w:val="false"/>
          <w:iCs w:val="false"/>
          <w:sz w:val="18"/>
          <w:szCs w:val="18"/>
        </w:rPr>
        <w:t xml:space="preserve">Table 9c. Non-Hispanic White comparator only (unstratified-White comparators dropped): 62 of 90 cells unchanged, 1 changed, 27 dropped. The aggregate, disaggregated-AANHPI, and Hispanic-origin cells are unchanged because they already use an NHW comparator; the dropped cells are those whose only representative used an unstratified White reference — the receptor-defined subtype set (Loo 2019), male breast cancer (Sung 2020), the ER/PR subtypes (Gleason 2012), and two age-specific Black cells — confirming which findings depend on the unstratified-White comparator.</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3185"/>
        <w:gridCol w:w="3600"/>
        <w:gridCol w:w="2769"/>
        <w:gridCol w:w="2769"/>
        <w:gridCol w:w="2077"/>
      </w:tblGrid>
      <w:tr>
        <w:trPr>
          <w:tblHeader/>
        </w:trPr>
        <w:tc>
          <w:tcPr>
            <w:tcW w:type="dxa" w:w="3185"/>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Dimension</w:t>
            </w:r>
          </w:p>
        </w:tc>
        <w:tc>
          <w:tcPr>
            <w:tcW w:type="dxa" w:w="360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2769"/>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Main IRR</w:t>
            </w:r>
          </w:p>
        </w:tc>
        <w:tc>
          <w:tcPr>
            <w:tcW w:type="dxa" w:w="2769"/>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Sens IRR</w:t>
            </w:r>
          </w:p>
        </w:tc>
        <w:tc>
          <w:tcPr>
            <w:tcW w:type="dxa" w:w="2077"/>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Status</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1.09</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0.952</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≥40</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0.851</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&lt;40</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1.183</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&lt;40</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(age&lt;40)</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1.16</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(women)</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0.98</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Male BC</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(men)</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1.52</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Male BC, HR−/HER2+</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(men)</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2.62</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Male BC, HR+/HER2−</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(men)</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1.41</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Male BC, HR+/HER2+</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(men)</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1.65</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Male BC, TNBC</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(men)</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2.27</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By nativity</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 (US-born)</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1.84</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By nativity</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 (US-born)</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1.32</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ER−/PR+</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1.459</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ER+/PR−</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0.974</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0.88</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1.19</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Filipino</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1.03</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1.12</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Filipino</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0.88</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1.03</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1.35</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Filipino</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bl>
    <w:p>
      <w:pPr>
        <w:spacing w:after="80"/>
      </w:pPr>
    </w:p>
    <w:p>
      <w:pPr>
        <w:spacing w:after="80"/>
      </w:pPr>
      <w:r>
        <w:rPr>
          <w:rFonts w:ascii="Malgun Gothic" w:cs="Malgun Gothic" w:eastAsia="Malgun Gothic" w:hAnsi="Malgun Gothic"/>
          <w:i/>
          <w:iCs/>
          <w:sz w:val="18"/>
          <w:szCs w:val="18"/>
        </w:rPr>
        <w:t xml:space="preserve">Main IRR = representative estimate in the main analysis. Sens IRR = the representative re-selected after applying the sensitivity restriction (Good-RoB-only in Table 9a; author-reported IRR/SIR only in Table 9b; NHW-comparator only in Table 9c). Status: unchanged = same study remains the representative; changed = a different study becomes the representative (its IRR is shown); dropped = no eligible estimate remained for that cell (Sens IRR = “–”). Only changed/dropped cells are listed; all others were unchanged, indicating the main results are robust.</w:t>
      </w:r>
    </w:p>
    <w:p>
      <w:r>
        <w:br w:type="page"/>
      </w:r>
    </w:p>
    <w:p>
      <w:pPr>
        <w:pStyle w:val="Heading1"/>
        <w:spacing w:after="100" w:before="200"/>
      </w:pPr>
      <w:r>
        <w:rPr>
          <w:rFonts w:ascii="Malgun Gothic" w:cs="Malgun Gothic" w:eastAsia="Malgun Gothic" w:hAnsi="Malgun Gothic"/>
          <w:b/>
          <w:bCs/>
          <w:sz w:val="24"/>
          <w:szCs w:val="24"/>
        </w:rPr>
        <w:t xml:space="preserve">Supplementary Note 1. Provenance of estimates and derivation log</w:t>
      </w:r>
    </w:p>
    <w:p>
      <w:pPr>
        <w:spacing w:after="80"/>
      </w:pPr>
      <w:r>
        <w:rPr>
          <w:rFonts w:ascii="Malgun Gothic" w:cs="Malgun Gothic" w:eastAsia="Malgun Gothic" w:hAnsi="Malgun Gothic"/>
          <w:i w:val="false"/>
          <w:iCs w:val="false"/>
          <w:sz w:val="18"/>
          <w:szCs w:val="18"/>
        </w:rPr>
        <w:t xml:space="preserve">Transparency record (for the Methods / Supplementary). Every estimate in</w:t>
      </w:r>
    </w:p>
    <w:p>
      <w:pPr>
        <w:spacing w:after="80"/>
      </w:pPr>
      <w:r>
        <w:rPr>
          <w:rFonts w:ascii="Malgun Gothic" w:cs="Malgun Gothic" w:eastAsia="Malgun Gothic" w:hAnsi="Malgun Gothic"/>
          <w:i w:val="false"/>
          <w:iCs w:val="false"/>
          <w:sz w:val="18"/>
          <w:szCs w:val="18"/>
        </w:rPr>
        <w:t xml:space="preserve">`breast_extraction.csv` whose IRR was not printed as-is by the study is</w:t>
      </w:r>
    </w:p>
    <w:p>
      <w:pPr>
        <w:spacing w:after="80"/>
      </w:pPr>
      <w:r>
        <w:rPr>
          <w:rFonts w:ascii="Malgun Gothic" w:cs="Malgun Gothic" w:eastAsia="Malgun Gothic" w:hAnsi="Malgun Gothic"/>
          <w:i w:val="false"/>
          <w:iCs w:val="false"/>
          <w:sz w:val="18"/>
          <w:szCs w:val="18"/>
        </w:rPr>
        <w:t xml:space="preserve">listed here with exactly how it was derived, so each is reproducible and</w:t>
      </w:r>
    </w:p>
    <w:p>
      <w:pPr>
        <w:spacing w:after="80"/>
      </w:pPr>
      <w:r>
        <w:rPr>
          <w:rFonts w:ascii="Malgun Gothic" w:cs="Malgun Gothic" w:eastAsia="Malgun Gothic" w:hAnsi="Malgun Gothic"/>
          <w:i w:val="false"/>
          <w:iCs w:val="false"/>
          <w:sz w:val="18"/>
          <w:szCs w:val="18"/>
        </w:rPr>
        <w:t xml:space="preserve">auditable. Rows whose `provenance` is `directly-reported-IRR` / `-SIR` are</w:t>
      </w:r>
    </w:p>
    <w:p>
      <w:pPr>
        <w:spacing w:after="80"/>
      </w:pPr>
      <w:r>
        <w:rPr>
          <w:rFonts w:ascii="Malgun Gothic" w:cs="Malgun Gothic" w:eastAsia="Malgun Gothic" w:hAnsi="Malgun Gothic"/>
          <w:i w:val="false"/>
          <w:iCs w:val="false"/>
          <w:sz w:val="18"/>
          <w:szCs w:val="18"/>
        </w:rPr>
        <w:t xml:space="preserve">taken verbatim from the paper and are NOT in this log.</w:t>
      </w:r>
    </w:p>
    <w:p>
      <w:pPr>
        <w:pStyle w:val="Heading2"/>
        <w:spacing w:after="100" w:before="200"/>
      </w:pPr>
      <w:r>
        <w:rPr>
          <w:rFonts w:ascii="Malgun Gothic" w:cs="Malgun Gothic" w:eastAsia="Malgun Gothic" w:hAnsi="Malgun Gothic"/>
          <w:b/>
          <w:bCs/>
          <w:sz w:val="20"/>
          <w:szCs w:val="20"/>
        </w:rPr>
        <w:t xml:space="preserve">1. Age-standardization from age-specific rates</w:t>
      </w:r>
    </w:p>
    <w:p>
      <w:pPr>
        <w:spacing w:after="80"/>
      </w:pPr>
      <w:r>
        <w:rPr>
          <w:rFonts w:ascii="Malgun Gothic" w:cs="Malgun Gothic" w:eastAsia="Malgun Gothic" w:hAnsi="Malgun Gothic"/>
          <w:i w:val="false"/>
          <w:iCs w:val="false"/>
          <w:sz w:val="18"/>
          <w:szCs w:val="18"/>
        </w:rPr>
        <w:t xml:space="preserve">• (Howlader 2014, Suppl Table 3). The supplement reports 5-year</w:t>
      </w:r>
    </w:p>
    <w:p>
      <w:pPr>
        <w:spacing w:after="80"/>
      </w:pPr>
      <w:r>
        <w:rPr>
          <w:rFonts w:ascii="Malgun Gothic" w:cs="Malgun Gothic" w:eastAsia="Malgun Gothic" w:hAnsi="Malgun Gothic"/>
          <w:i w:val="false"/>
          <w:iCs w:val="false"/>
          <w:sz w:val="18"/>
          <w:szCs w:val="18"/>
        </w:rPr>
        <w:t xml:space="preserve">• age-specific incidence rates (ages 20–85+) by race × subtype, not a single</w:t>
      </w:r>
    </w:p>
    <w:p>
      <w:pPr>
        <w:spacing w:after="80"/>
      </w:pPr>
      <w:r>
        <w:rPr>
          <w:rFonts w:ascii="Malgun Gothic" w:cs="Malgun Gothic" w:eastAsia="Malgun Gothic" w:hAnsi="Malgun Gothic"/>
          <w:i w:val="false"/>
          <w:iCs w:val="false"/>
          <w:sz w:val="18"/>
          <w:szCs w:val="18"/>
        </w:rPr>
        <w:t xml:space="preserve">• age-adjusted rate. We age-standardized each race's 14 age-specific rates to</w:t>
      </w:r>
    </w:p>
    <w:p>
      <w:pPr>
        <w:spacing w:after="80"/>
      </w:pPr>
      <w:r>
        <w:rPr>
          <w:rFonts w:ascii="Malgun Gothic" w:cs="Malgun Gothic" w:eastAsia="Malgun Gothic" w:hAnsi="Malgun Gothic"/>
          <w:i w:val="false"/>
          <w:iCs w:val="false"/>
          <w:sz w:val="18"/>
          <w:szCs w:val="18"/>
        </w:rPr>
        <w:t xml:space="preserve">• the 2000 US standard population (Census P25-1130 weights for the 20–85+</w:t>
      </w:r>
    </w:p>
    <w:p>
      <w:pPr>
        <w:spacing w:after="80"/>
      </w:pPr>
      <w:r>
        <w:rPr>
          <w:rFonts w:ascii="Malgun Gothic" w:cs="Malgun Gothic" w:eastAsia="Malgun Gothic" w:hAnsi="Malgun Gothic"/>
          <w:i w:val="false"/>
          <w:iCs w:val="false"/>
          <w:sz w:val="18"/>
          <w:szCs w:val="18"/>
        </w:rPr>
        <w:t xml:space="preserve">• groups): std_rate = Σ(rate_i·w_i)/Σw_i. IRR = minority_std / NHW_std.</w:t>
      </w:r>
    </w:p>
    <w:p>
      <w:pPr>
        <w:spacing w:after="80"/>
      </w:pPr>
      <w:r>
        <w:rPr>
          <w:rFonts w:ascii="Malgun Gothic" w:cs="Malgun Gothic" w:eastAsia="Malgun Gothic" w:hAnsi="Malgun Gothic"/>
          <w:i w:val="false"/>
          <w:iCs w:val="false"/>
          <w:sz w:val="18"/>
          <w:szCs w:val="18"/>
        </w:rPr>
        <w:t xml:space="preserve">• Alignment verified against printed anchors (HR+/HER2− NHW 45–49 = 128.2,</w:t>
      </w:r>
    </w:p>
    <w:p>
      <w:pPr>
        <w:spacing w:after="80"/>
      </w:pPr>
      <w:r>
        <w:rPr>
          <w:rFonts w:ascii="Malgun Gothic" w:cs="Malgun Gothic" w:eastAsia="Malgun Gothic" w:hAnsi="Malgun Gothic"/>
          <w:i w:val="false"/>
          <w:iCs w:val="false"/>
          <w:sz w:val="18"/>
          <w:szCs w:val="18"/>
        </w:rPr>
        <w:t xml:space="preserve">• 75–79 = 342.7; TNBC NHW 35–39 = 9.7).</w:t>
      </w:r>
    </w:p>
    <w:p>
      <w:pPr>
        <w:spacing w:after="80"/>
      </w:pPr>
      <w:r>
        <w:rPr>
          <w:rFonts w:ascii="Malgun Gothic" w:cs="Malgun Gothic" w:eastAsia="Malgun Gothic" w:hAnsi="Malgun Gothic"/>
          <w:i w:val="false"/>
          <w:iCs w:val="false"/>
          <w:sz w:val="18"/>
          <w:szCs w:val="18"/>
        </w:rPr>
        <w:t xml:space="preserve">• 95% CIs computed by variance propagation. Suppl Table 3 reports a 95% CI</w:t>
      </w:r>
    </w:p>
    <w:p>
      <w:pPr>
        <w:spacing w:after="80"/>
      </w:pPr>
      <w:r>
        <w:rPr>
          <w:rFonts w:ascii="Malgun Gothic" w:cs="Malgun Gothic" w:eastAsia="Malgun Gothic" w:hAnsi="Malgun Gothic"/>
          <w:i w:val="false"/>
          <w:iCs w:val="false"/>
          <w:sz w:val="18"/>
          <w:szCs w:val="18"/>
        </w:rPr>
        <w:t xml:space="preserve">• for every age-specific rate (Fig 1 footnote points to it). SE per band =</w:t>
      </w:r>
    </w:p>
    <w:p>
      <w:pPr>
        <w:spacing w:after="80"/>
      </w:pPr>
      <w:r>
        <w:rPr>
          <w:rFonts w:ascii="Malgun Gothic" w:cs="Malgun Gothic" w:eastAsia="Malgun Gothic" w:hAnsi="Malgun Gothic"/>
          <w:i w:val="false"/>
          <w:iCs w:val="false"/>
          <w:sz w:val="18"/>
          <w:szCs w:val="18"/>
        </w:rPr>
        <w:t xml:space="preserve">• (hi−lo)/(2·1.96); Var(std_rate) = Σ(w_i/Σw)²·SE_i²; SE(logIRR) =</w:t>
      </w:r>
    </w:p>
    <w:p>
      <w:pPr>
        <w:spacing w:after="80"/>
      </w:pPr>
      <w:r>
        <w:rPr>
          <w:rFonts w:ascii="Malgun Gothic" w:cs="Malgun Gothic" w:eastAsia="Malgun Gothic" w:hAnsi="Malgun Gothic"/>
          <w:i w:val="false"/>
          <w:iCs w:val="false"/>
          <w:sz w:val="18"/>
          <w:szCs w:val="18"/>
        </w:rPr>
        <w:t xml:space="preserve">• √[(SE_min/std_min)² + (SE_nhw/std_nhw)²]. Provenance =</w:t>
      </w:r>
    </w:p>
    <w:p>
      <w:pPr>
        <w:spacing w:after="80"/>
      </w:pPr>
      <w:r>
        <w:rPr>
          <w:rFonts w:ascii="Malgun Gothic" w:cs="Malgun Gothic" w:eastAsia="Malgun Gothic" w:hAnsi="Malgun Gothic"/>
          <w:i w:val="false"/>
          <w:iCs w:val="false"/>
          <w:sz w:val="18"/>
          <w:szCs w:val="18"/>
        </w:rPr>
        <w:t xml:space="preserve">• `computed-from-rates-with-CI`. (Earlier this cell was carried as point-only;</w:t>
      </w:r>
    </w:p>
    <w:p>
      <w:pPr>
        <w:spacing w:after="80"/>
      </w:pPr>
      <w:r>
        <w:rPr>
          <w:rFonts w:ascii="Malgun Gothic" w:cs="Malgun Gothic" w:eastAsia="Malgun Gothic" w:hAnsi="Malgun Gothic"/>
          <w:i w:val="false"/>
          <w:iCs w:val="false"/>
          <w:sz w:val="18"/>
          <w:szCs w:val="18"/>
        </w:rPr>
        <w:t xml:space="preserve">• the rate CIs in Suppl Table 3 had been overlooked at extraction and are now</w:t>
      </w:r>
    </w:p>
    <w:p>
      <w:pPr>
        <w:spacing w:after="80"/>
      </w:pPr>
      <w:r>
        <w:rPr>
          <w:rFonts w:ascii="Malgun Gothic" w:cs="Malgun Gothic" w:eastAsia="Malgun Gothic" w:hAnsi="Malgun Gothic"/>
          <w:i w:val="false"/>
          <w:iCs w:val="false"/>
          <w:sz w:val="18"/>
          <w:szCs w:val="18"/>
        </w:rPr>
        <w:t xml:space="preserve">• propagated — e.g. TNBC Black 1.82 [1.70, 1.95], HR+/HER2− API 0.69</w:t>
      </w:r>
    </w:p>
    <w:p>
      <w:pPr>
        <w:spacing w:after="80"/>
      </w:pPr>
      <w:r>
        <w:rPr>
          <w:rFonts w:ascii="Malgun Gothic" w:cs="Malgun Gothic" w:eastAsia="Malgun Gothic" w:hAnsi="Malgun Gothic"/>
          <w:i w:val="false"/>
          <w:iCs w:val="false"/>
          <w:sz w:val="18"/>
          <w:szCs w:val="18"/>
        </w:rPr>
        <w:t xml:space="preserve">• [0.66, 0.72].)</w:t>
      </w:r>
    </w:p>
    <w:p>
      <w:pPr>
        <w:spacing w:after="80"/>
      </w:pPr>
      <w:r>
        <w:rPr>
          <w:rFonts w:ascii="Malgun Gothic" w:cs="Malgun Gothic" w:eastAsia="Malgun Gothic" w:hAnsi="Malgun Gothic"/>
          <w:i w:val="false"/>
          <w:iCs w:val="false"/>
          <w:sz w:val="18"/>
          <w:szCs w:val="18"/>
        </w:rPr>
        <w:t xml:space="preserve">• IRR is invariant to the 20+ vs all-age standard (ages 0–19 contribute ≈0 to</w:t>
      </w:r>
    </w:p>
    <w:p>
      <w:pPr>
        <w:spacing w:after="80"/>
      </w:pPr>
      <w:r>
        <w:rPr>
          <w:rFonts w:ascii="Malgun Gothic" w:cs="Malgun Gothic" w:eastAsia="Malgun Gothic" w:hAnsi="Malgun Gothic"/>
          <w:i w:val="false"/>
          <w:iCs w:val="false"/>
          <w:sz w:val="18"/>
          <w:szCs w:val="18"/>
        </w:rPr>
        <w:t xml:space="preserve">• both numerator and denominator).</w:t>
      </w:r>
    </w:p>
    <w:p>
      <w:pPr>
        <w:pStyle w:val="Heading2"/>
        <w:spacing w:after="100" w:before="200"/>
      </w:pPr>
      <w:r>
        <w:rPr>
          <w:rFonts w:ascii="Malgun Gothic" w:cs="Malgun Gothic" w:eastAsia="Malgun Gothic" w:hAnsi="Malgun Gothic"/>
          <w:b/>
          <w:bCs/>
          <w:sz w:val="20"/>
          <w:szCs w:val="20"/>
        </w:rPr>
        <w:t xml:space="preserve">2. IRR computed from race-specific rates ± CIs</w:t>
      </w:r>
    </w:p>
    <w:p>
      <w:pPr>
        <w:spacing w:after="80"/>
      </w:pPr>
      <w:r>
        <w:rPr>
          <w:rFonts w:ascii="Malgun Gothic" w:cs="Malgun Gothic" w:eastAsia="Malgun Gothic" w:hAnsi="Malgun Gothic"/>
          <w:i w:val="false"/>
          <w:iCs w:val="false"/>
          <w:sz w:val="18"/>
          <w:szCs w:val="18"/>
        </w:rPr>
        <w:t xml:space="preserve">IRR = minority_rate / NHW_rate. With both rate CIs: SE(logIRR) =</w:t>
      </w:r>
    </w:p>
    <w:p>
      <w:pPr>
        <w:spacing w:after="80"/>
      </w:pPr>
      <w:r>
        <w:rPr>
          <w:rFonts w:ascii="Malgun Gothic" w:cs="Malgun Gothic" w:eastAsia="Malgun Gothic" w:hAnsi="Malgun Gothic"/>
          <w:i w:val="false"/>
          <w:iCs w:val="false"/>
          <w:sz w:val="18"/>
          <w:szCs w:val="18"/>
        </w:rPr>
        <w:t xml:space="preserve">sqrt(SE_min² + SE_nhw²), SE(log rate) = (ln hi − ln lo)/(2·1.96); provenance</w:t>
      </w:r>
    </w:p>
    <w:p>
      <w:pPr>
        <w:spacing w:after="80"/>
      </w:pPr>
      <w:r>
        <w:rPr>
          <w:rFonts w:ascii="Malgun Gothic" w:cs="Malgun Gothic" w:eastAsia="Malgun Gothic" w:hAnsi="Malgun Gothic"/>
          <w:i w:val="false"/>
          <w:iCs w:val="false"/>
          <w:sz w:val="18"/>
          <w:szCs w:val="18"/>
        </w:rPr>
        <w:t xml:space="preserve">`computed-from-rates-with-CI`. Rate without CI → point IRR only; provenance</w:t>
      </w:r>
    </w:p>
    <w:p>
      <w:pPr>
        <w:spacing w:after="80"/>
      </w:pPr>
      <w:r>
        <w:rPr>
          <w:rFonts w:ascii="Malgun Gothic" w:cs="Malgun Gothic" w:eastAsia="Malgun Gothic" w:hAnsi="Malgun Gothic"/>
          <w:i w:val="false"/>
          <w:iCs w:val="false"/>
          <w:sz w:val="18"/>
          <w:szCs w:val="18"/>
        </w:rPr>
        <w:t xml:space="preserve">`computed-from-rates`. Complete lists (auto-generated from the ledger):</w:t>
      </w:r>
    </w:p>
    <w:p>
      <w:pPr>
        <w:spacing w:after="80"/>
      </w:pPr>
      <w:r>
        <w:rPr>
          <w:rFonts w:ascii="Malgun Gothic" w:cs="Malgun Gothic" w:eastAsia="Malgun Gothic" w:hAnsi="Malgun Gothic"/>
          <w:i w:val="false"/>
          <w:iCs w:val="false"/>
          <w:sz w:val="18"/>
          <w:szCs w:val="18"/>
        </w:rPr>
        <w:t xml:space="preserve">• with CI: Howlader 2014, Davis Lynn 2025, Gomez 2026, Ihenacho 2023, Xie 2022, Pinheiro 2009, Gomez 2003, Miller 2008.</w:t>
      </w:r>
    </w:p>
    <w:p>
      <w:pPr>
        <w:spacing w:after="80"/>
      </w:pPr>
      <w:r>
        <w:rPr>
          <w:rFonts w:ascii="Malgun Gothic" w:cs="Malgun Gothic" w:eastAsia="Malgun Gothic" w:hAnsi="Malgun Gothic"/>
          <w:i w:val="false"/>
          <w:iCs w:val="false"/>
          <w:sz w:val="18"/>
          <w:szCs w:val="18"/>
        </w:rPr>
        <w:t xml:space="preserve">• point only (no CI): Liu 2012, Anderson 2008, Keegan 2010, Richardson 2016, Lund 2010,</w:t>
      </w:r>
    </w:p>
    <w:p>
      <w:pPr>
        <w:spacing w:after="80"/>
      </w:pPr>
      <w:r>
        <w:rPr>
          <w:rFonts w:ascii="Malgun Gothic" w:cs="Malgun Gothic" w:eastAsia="Malgun Gothic" w:hAnsi="Malgun Gothic"/>
          <w:i w:val="false"/>
          <w:iCs w:val="false"/>
          <w:sz w:val="18"/>
          <w:szCs w:val="18"/>
        </w:rPr>
        <w:t xml:space="preserve">• Keegan 2007, Harper 2009, Gopalani 2020, McCracken 2007.</w:t>
      </w:r>
    </w:p>
    <w:p>
      <w:pPr>
        <w:spacing w:after="80"/>
      </w:pPr>
      <w:r>
        <w:rPr>
          <w:rFonts w:ascii="Malgun Gothic" w:cs="Malgun Gothic" w:eastAsia="Malgun Gothic" w:hAnsi="Malgun Gothic"/>
          <w:i w:val="false"/>
          <w:iCs w:val="false"/>
          <w:sz w:val="18"/>
          <w:szCs w:val="18"/>
        </w:rPr>
        <w:t xml:space="preserve">• Elaborated elsewhere: (§1), Gomez 2026 &amp; (§4).</w:t>
      </w:r>
    </w:p>
    <w:p>
      <w:pPr>
        <w:spacing w:after="80"/>
      </w:pPr>
      <w:r>
        <w:rPr>
          <w:rFonts w:ascii="Malgun Gothic" w:cs="Malgun Gothic" w:eastAsia="Malgun Gothic" w:hAnsi="Malgun Gothic"/>
          <w:i w:val="false"/>
          <w:iCs w:val="false"/>
          <w:sz w:val="18"/>
          <w:szCs w:val="18"/>
        </w:rPr>
        <w:t xml:space="preserve">• Davis Lynn 2025 rates use the Segi world 1960 standard (ages 20–74), not 2000 US</w:t>
      </w:r>
    </w:p>
    <w:p>
      <w:pPr>
        <w:spacing w:after="80"/>
      </w:pPr>
      <w:r>
        <w:rPr>
          <w:rFonts w:ascii="Malgun Gothic" w:cs="Malgun Gothic" w:eastAsia="Malgun Gothic" w:hAnsi="Malgun Gothic"/>
          <w:i w:val="false"/>
          <w:iCs w:val="false"/>
          <w:sz w:val="18"/>
          <w:szCs w:val="18"/>
        </w:rPr>
        <w:t xml:space="preserve">• — IRR still comparable (ratio), absolute scale differs (flagged in-row).</w:t>
      </w:r>
    </w:p>
    <w:p>
      <w:pPr>
        <w:spacing w:after="80"/>
      </w:pPr>
      <w:r>
        <w:rPr>
          <w:rFonts w:ascii="Malgun Gothic" w:cs="Malgun Gothic" w:eastAsia="Malgun Gothic" w:hAnsi="Malgun Gothic"/>
          <w:i w:val="false"/>
          <w:iCs w:val="false"/>
          <w:sz w:val="18"/>
          <w:szCs w:val="18"/>
        </w:rPr>
        <w:t xml:space="preserve">• Anderson 2008, Richardson 2016 use "White"/"Black" not NH-stratified (Richardson 2016 White incl.</w:t>
      </w:r>
    </w:p>
    <w:p>
      <w:pPr>
        <w:spacing w:after="80"/>
      </w:pPr>
      <w:r>
        <w:rPr>
          <w:rFonts w:ascii="Malgun Gothic" w:cs="Malgun Gothic" w:eastAsia="Malgun Gothic" w:hAnsi="Malgun Gothic"/>
          <w:i w:val="false"/>
          <w:iCs w:val="false"/>
          <w:sz w:val="18"/>
          <w:szCs w:val="18"/>
        </w:rPr>
        <w:t xml:space="preserve">• Hispanic); Anderson 2008 is the crossover from printed age-specific rates, no ratio CI.</w:t>
      </w:r>
    </w:p>
    <w:p>
      <w:pPr>
        <w:spacing w:after="80"/>
      </w:pPr>
      <w:r>
        <w:rPr>
          <w:rFonts w:ascii="Malgun Gothic" w:cs="Malgun Gothic" w:eastAsia="Malgun Gothic" w:hAnsi="Malgun Gothic"/>
          <w:i w:val="false"/>
          <w:iCs w:val="false"/>
          <w:sz w:val="18"/>
          <w:szCs w:val="18"/>
        </w:rPr>
        <w:t xml:space="preserve">• Gopalani 2020 NHW (130.4) is from the same paper (Gopalani 2020), not external.</w:t>
      </w:r>
    </w:p>
    <w:p>
      <w:pPr>
        <w:pStyle w:val="Heading2"/>
        <w:spacing w:after="100" w:before="200"/>
      </w:pPr>
      <w:r>
        <w:rPr>
          <w:rFonts w:ascii="Malgun Gothic" w:cs="Malgun Gothic" w:eastAsia="Malgun Gothic" w:hAnsi="Malgun Gothic"/>
          <w:b/>
          <w:bCs/>
          <w:sz w:val="20"/>
          <w:szCs w:val="20"/>
        </w:rPr>
        <w:t xml:space="preserve">3. Poisson SE from case counts</w:t>
      </w:r>
    </w:p>
    <w:p>
      <w:pPr>
        <w:spacing w:after="80"/>
      </w:pPr>
      <w:r>
        <w:rPr>
          <w:rFonts w:ascii="Malgun Gothic" w:cs="Malgun Gothic" w:eastAsia="Malgun Gothic" w:hAnsi="Malgun Gothic"/>
          <w:i w:val="false"/>
          <w:iCs w:val="false"/>
          <w:sz w:val="18"/>
          <w:szCs w:val="18"/>
        </w:rPr>
        <w:t xml:space="preserve">• Brinton 2008, 182. No ratio CI printed but case counts are. SE(logIRR) =</w:t>
      </w:r>
    </w:p>
    <w:p>
      <w:pPr>
        <w:spacing w:after="80"/>
      </w:pPr>
      <w:r>
        <w:rPr>
          <w:rFonts w:ascii="Malgun Gothic" w:cs="Malgun Gothic" w:eastAsia="Malgun Gothic" w:hAnsi="Malgun Gothic"/>
          <w:i w:val="false"/>
          <w:iCs w:val="false"/>
          <w:sz w:val="18"/>
          <w:szCs w:val="18"/>
        </w:rPr>
        <w:t xml:space="preserve">• sqrt(1/D_min + 1/D_nhw) (D = cases); provenance `computed-from-rates-Poisson-SE`.</w:t>
      </w:r>
    </w:p>
    <w:p>
      <w:pPr>
        <w:spacing w:after="80"/>
      </w:pPr>
      <w:r>
        <w:rPr>
          <w:rFonts w:ascii="Malgun Gothic" w:cs="Malgun Gothic" w:eastAsia="Malgun Gothic" w:hAnsi="Malgun Gothic"/>
          <w:i w:val="false"/>
          <w:iCs w:val="false"/>
          <w:sz w:val="18"/>
          <w:szCs w:val="18"/>
        </w:rPr>
        <w:t xml:space="preserve">• (Mills 2005, Hmong-California). Hmong female breast AAIR 23.8 (39</w:t>
      </w:r>
    </w:p>
    <w:p>
      <w:pPr>
        <w:spacing w:after="80"/>
      </w:pPr>
      <w:r>
        <w:rPr>
          <w:rFonts w:ascii="Malgun Gothic" w:cs="Malgun Gothic" w:eastAsia="Malgun Gothic" w:hAnsi="Malgun Gothic"/>
          <w:i w:val="false"/>
          <w:iCs w:val="false"/>
          <w:sz w:val="18"/>
          <w:szCs w:val="18"/>
        </w:rPr>
        <w:t xml:space="preserve">• cases) vs NHW 145.5; only the Hmong case count (39) is available, so SE(logIRR)</w:t>
      </w:r>
    </w:p>
    <w:p>
      <w:pPr>
        <w:spacing w:after="80"/>
      </w:pPr>
      <w:r>
        <w:rPr>
          <w:rFonts w:ascii="Malgun Gothic" w:cs="Malgun Gothic" w:eastAsia="Malgun Gothic" w:hAnsi="Malgun Gothic"/>
          <w:i w:val="false"/>
          <w:iCs w:val="false"/>
          <w:sz w:val="18"/>
          <w:szCs w:val="18"/>
        </w:rPr>
        <w:t xml:space="preserve">• = 1/sqrt(39) = 0.160 with the large NHW denominator treated as fixed</w:t>
      </w:r>
    </w:p>
    <w:p>
      <w:pPr>
        <w:spacing w:after="80"/>
      </w:pPr>
      <w:r>
        <w:rPr>
          <w:rFonts w:ascii="Malgun Gothic" w:cs="Malgun Gothic" w:eastAsia="Malgun Gothic" w:hAnsi="Malgun Gothic"/>
          <w:i w:val="false"/>
          <w:iCs w:val="false"/>
          <w:sz w:val="18"/>
          <w:szCs w:val="18"/>
        </w:rPr>
        <w:t xml:space="preserve">• (1/D_nhw ~ 0). IRR 0.164 (0.120-0.224). Period mismatch (Hmong 1988-2000 vs</w:t>
      </w:r>
    </w:p>
    <w:p>
      <w:pPr>
        <w:spacing w:after="80"/>
      </w:pPr>
      <w:r>
        <w:rPr>
          <w:rFonts w:ascii="Malgun Gothic" w:cs="Malgun Gothic" w:eastAsia="Malgun Gothic" w:hAnsi="Malgun Gothic"/>
          <w:i w:val="false"/>
          <w:iCs w:val="false"/>
          <w:sz w:val="18"/>
          <w:szCs w:val="18"/>
        </w:rPr>
        <w:t xml:space="preserve">• NHW 1995-1999) flagged in-row. Lowest AANHPI subgroup.</w:t>
      </w:r>
    </w:p>
    <w:p>
      <w:pPr>
        <w:spacing w:after="80"/>
      </w:pPr>
      <w:r>
        <w:rPr>
          <w:rFonts w:ascii="Malgun Gothic" w:cs="Malgun Gothic" w:eastAsia="Malgun Gothic" w:hAnsi="Malgun Gothic"/>
          <w:i w:val="false"/>
          <w:iCs w:val="false"/>
          <w:sz w:val="18"/>
          <w:szCs w:val="18"/>
        </w:rPr>
        <w:t xml:space="preserve">• (Kem 2007, Cambodian CA+PugetSound). Author-reported Cambodian/</w:t>
      </w:r>
    </w:p>
    <w:p>
      <w:pPr>
        <w:spacing w:after="80"/>
      </w:pPr>
      <w:r>
        <w:rPr>
          <w:rFonts w:ascii="Malgun Gothic" w:cs="Malgun Gothic" w:eastAsia="Malgun Gothic" w:hAnsi="Malgun Gothic"/>
          <w:i w:val="false"/>
          <w:iCs w:val="false"/>
          <w:sz w:val="18"/>
          <w:szCs w:val="18"/>
        </w:rPr>
        <w:t xml:space="preserve">• White ratio 0.26 (uses the surname-method "high rate" 41.0 / NHW 155.5); the</w:t>
      </w:r>
    </w:p>
    <w:p>
      <w:pPr>
        <w:spacing w:after="80"/>
      </w:pPr>
      <w:r>
        <w:rPr>
          <w:rFonts w:ascii="Malgun Gothic" w:cs="Malgun Gothic" w:eastAsia="Malgun Gothic" w:hAnsi="Malgun Gothic"/>
          <w:i w:val="false"/>
          <w:iCs w:val="false"/>
          <w:sz w:val="18"/>
          <w:szCs w:val="18"/>
        </w:rPr>
        <w:t xml:space="preserve">• high/low rate bracket 34.8-41.0 is an ethnic-identification uncertainty range,</w:t>
      </w:r>
    </w:p>
    <w:p>
      <w:pPr>
        <w:spacing w:after="80"/>
      </w:pPr>
      <w:r>
        <w:rPr>
          <w:rFonts w:ascii="Malgun Gothic" w:cs="Malgun Gothic" w:eastAsia="Malgun Gothic" w:hAnsi="Malgun Gothic"/>
          <w:i w:val="false"/>
          <w:iCs w:val="false"/>
          <w:sz w:val="18"/>
          <w:szCs w:val="18"/>
        </w:rPr>
        <w:t xml:space="preserve">• NOT a 95% CI, so SE(logIRR) = 1/sqrt(58) = 0.131 from the 58 Cambodian cases.</w:t>
      </w:r>
    </w:p>
    <w:p>
      <w:pPr>
        <w:spacing w:after="80"/>
      </w:pPr>
      <w:r>
        <w:rPr>
          <w:rFonts w:ascii="Malgun Gothic" w:cs="Malgun Gothic" w:eastAsia="Malgun Gothic" w:hAnsi="Malgun Gothic"/>
          <w:i w:val="false"/>
          <w:iCs w:val="false"/>
          <w:sz w:val="18"/>
          <w:szCs w:val="18"/>
        </w:rPr>
        <w:t xml:space="preserve">• IRR 0.264 (0.204-0.341).</w:t>
      </w:r>
    </w:p>
    <w:p>
      <w:pPr>
        <w:pStyle w:val="Heading2"/>
        <w:spacing w:after="100" w:before="200"/>
      </w:pPr>
      <w:r>
        <w:rPr>
          <w:rFonts w:ascii="Malgun Gothic" w:cs="Malgun Gothic" w:eastAsia="Malgun Gothic" w:hAnsi="Malgun Gothic"/>
          <w:b/>
          <w:bCs/>
          <w:sz w:val="20"/>
          <w:szCs w:val="20"/>
        </w:rPr>
        <w:t xml:space="preserve">4. External NHW comparator (study reports minority only)</w:t>
      </w:r>
    </w:p>
    <w:p>
      <w:pPr>
        <w:spacing w:after="80"/>
      </w:pPr>
      <w:r>
        <w:rPr>
          <w:rFonts w:ascii="Malgun Gothic" w:cs="Malgun Gothic" w:eastAsia="Malgun Gothic" w:hAnsi="Malgun Gothic"/>
          <w:i w:val="false"/>
          <w:iCs w:val="false"/>
          <w:sz w:val="18"/>
          <w:szCs w:val="18"/>
        </w:rPr>
        <w:t xml:space="preserve">• (Gomez 2026). Disaggregated AANHPI rates are in the main Table</w:t>
      </w:r>
    </w:p>
    <w:p>
      <w:pPr>
        <w:spacing w:after="80"/>
      </w:pPr>
      <w:r>
        <w:rPr>
          <w:rFonts w:ascii="Malgun Gothic" w:cs="Malgun Gothic" w:eastAsia="Malgun Gothic" w:hAnsi="Malgun Gothic"/>
          <w:i w:val="false"/>
          <w:iCs w:val="false"/>
          <w:sz w:val="18"/>
          <w:szCs w:val="18"/>
        </w:rPr>
        <w:t xml:space="preserve">• (2018–2022, SEER-21); the in-paper NHW comparator is eTable 3 (Supplement 1):</w:t>
      </w:r>
    </w:p>
    <w:p>
      <w:pPr>
        <w:spacing w:after="80"/>
      </w:pPr>
      <w:r>
        <w:rPr>
          <w:rFonts w:ascii="Malgun Gothic" w:cs="Malgun Gothic" w:eastAsia="Malgun Gothic" w:hAnsi="Malgun Gothic"/>
          <w:i w:val="false"/>
          <w:iCs w:val="false"/>
          <w:sz w:val="18"/>
          <w:szCs w:val="18"/>
        </w:rPr>
        <w:t xml:space="preserve">• Non-Hispanic White 139.5 (139.0–140.0), same registry (SEER-21), same period</w:t>
      </w:r>
    </w:p>
    <w:p>
      <w:pPr>
        <w:spacing w:after="80"/>
      </w:pPr>
      <w:r>
        <w:rPr>
          <w:rFonts w:ascii="Malgun Gothic" w:cs="Malgun Gothic" w:eastAsia="Malgun Gothic" w:hAnsi="Malgun Gothic"/>
          <w:i w:val="false"/>
          <w:iCs w:val="false"/>
          <w:sz w:val="18"/>
          <w:szCs w:val="18"/>
        </w:rPr>
        <w:t xml:space="preserve">• (2018–2022), same standard (2000 US). IRRs = subgroup rate / 139.5 with 95% CIs</w:t>
      </w:r>
    </w:p>
    <w:p>
      <w:pPr>
        <w:spacing w:after="80"/>
      </w:pPr>
      <w:r>
        <w:rPr>
          <w:rFonts w:ascii="Malgun Gothic" w:cs="Malgun Gothic" w:eastAsia="Malgun Gothic" w:hAnsi="Malgun Gothic"/>
          <w:i w:val="false"/>
          <w:iCs w:val="false"/>
          <w:sz w:val="18"/>
          <w:szCs w:val="18"/>
        </w:rPr>
        <w:t xml:space="preserve">• propagated from both rate CIs. (An earlier pass overlooked eTable 3 and paired an</w:t>
      </w:r>
    </w:p>
    <w:p>
      <w:pPr>
        <w:spacing w:after="80"/>
      </w:pPr>
      <w:r>
        <w:rPr>
          <w:rFonts w:ascii="Malgun Gothic" w:cs="Malgun Gothic" w:eastAsia="Malgun Gothic" w:hAnsi="Malgun Gothic"/>
          <w:i w:val="false"/>
          <w:iCs w:val="false"/>
          <w:sz w:val="18"/>
          <w:szCs w:val="18"/>
        </w:rPr>
        <w:t xml:space="preserve">• external SEER-Explorer NHW of 140.3; using the paper's own NHW is</w:t>
      </w:r>
    </w:p>
    <w:p>
      <w:pPr>
        <w:spacing w:after="80"/>
      </w:pPr>
      <w:r>
        <w:rPr>
          <w:rFonts w:ascii="Malgun Gothic" w:cs="Malgun Gothic" w:eastAsia="Malgun Gothic" w:hAnsi="Malgun Gothic"/>
          <w:i w:val="false"/>
          <w:iCs w:val="false"/>
          <w:sz w:val="18"/>
          <w:szCs w:val="18"/>
        </w:rPr>
        <w:t xml:space="preserve">• registry/period/standard-consistent and shifts IRRs by &lt;1%.)</w:t>
      </w:r>
    </w:p>
    <w:p>
      <w:pPr>
        <w:spacing w:after="80"/>
      </w:pPr>
      <w:r>
        <w:rPr>
          <w:rFonts w:ascii="Malgun Gothic" w:cs="Malgun Gothic" w:eastAsia="Malgun Gothic" w:hAnsi="Malgun Gothic"/>
          <w:i w:val="false"/>
          <w:iCs w:val="false"/>
          <w:sz w:val="18"/>
          <w:szCs w:val="18"/>
        </w:rPr>
        <w:t xml:space="preserve">• (Pinheiro 2009). Table gives origin rates + rounded IR ratios but</w:t>
      </w:r>
    </w:p>
    <w:p>
      <w:pPr>
        <w:spacing w:after="80"/>
      </w:pPr>
      <w:r>
        <w:rPr>
          <w:rFonts w:ascii="Malgun Gothic" w:cs="Malgun Gothic" w:eastAsia="Malgun Gothic" w:hAnsi="Malgun Gothic"/>
          <w:i w:val="false"/>
          <w:iCs w:val="false"/>
          <w:sz w:val="18"/>
          <w:szCs w:val="18"/>
        </w:rPr>
        <w:t xml:space="preserve">• not the NHW-FL rate; NHW-FL ≈ 143 (2000 US std) was back-derived so computed</w:t>
      </w:r>
    </w:p>
    <w:p>
      <w:pPr>
        <w:spacing w:after="80"/>
      </w:pPr>
      <w:r>
        <w:rPr>
          <w:rFonts w:ascii="Malgun Gothic" w:cs="Malgun Gothic" w:eastAsia="Malgun Gothic" w:hAnsi="Malgun Gothic"/>
          <w:i w:val="false"/>
          <w:iCs w:val="false"/>
          <w:sz w:val="18"/>
          <w:szCs w:val="18"/>
        </w:rPr>
        <w:t xml:space="preserve">• IRRs reproduce the authors' rounded ratios (0.8/0.5/0.8/0.7) — flagged to</w:t>
      </w:r>
    </w:p>
    <w:p>
      <w:pPr>
        <w:spacing w:after="80"/>
      </w:pPr>
      <w:r>
        <w:rPr>
          <w:rFonts w:ascii="Malgun Gothic" w:cs="Malgun Gothic" w:eastAsia="Malgun Gothic" w:hAnsi="Malgun Gothic"/>
          <w:i w:val="false"/>
          <w:iCs w:val="false"/>
          <w:sz w:val="18"/>
          <w:szCs w:val="18"/>
        </w:rPr>
        <w:t xml:space="preserve">• refine if the exact NHW is obtained.</w:t>
      </w:r>
    </w:p>
    <w:p>
      <w:pPr>
        <w:spacing w:after="80"/>
      </w:pPr>
      <w:r>
        <w:rPr>
          <w:rFonts w:ascii="Malgun Gothic" w:cs="Malgun Gothic" w:eastAsia="Malgun Gothic" w:hAnsi="Malgun Gothic"/>
          <w:i w:val="false"/>
          <w:iCs w:val="false"/>
          <w:sz w:val="18"/>
          <w:szCs w:val="18"/>
        </w:rPr>
        <w:t xml:space="preserve">• (Nash 2022, Alaska Native). Paper is ANTR-only (Alaska Native</w:t>
      </w:r>
    </w:p>
    <w:p>
      <w:pPr>
        <w:spacing w:after="80"/>
      </w:pPr>
      <w:r>
        <w:rPr>
          <w:rFonts w:ascii="Malgun Gothic" w:cs="Malgun Gothic" w:eastAsia="Malgun Gothic" w:hAnsi="Malgun Gothic"/>
          <w:i w:val="false"/>
          <w:iCs w:val="false"/>
          <w:sz w:val="18"/>
          <w:szCs w:val="18"/>
        </w:rPr>
        <w:t xml:space="preserve">• people), no in-paper NHW. AN female breast 130.8 (116.7-146.0), 2014-2018,</w:t>
      </w:r>
    </w:p>
    <w:p>
      <w:pPr>
        <w:spacing w:after="80"/>
      </w:pPr>
      <w:r>
        <w:rPr>
          <w:rFonts w:ascii="Malgun Gothic" w:cs="Malgun Gothic" w:eastAsia="Malgun Gothic" w:hAnsi="Malgun Gothic"/>
          <w:i w:val="false"/>
          <w:iCs w:val="false"/>
          <w:sz w:val="18"/>
          <w:szCs w:val="18"/>
        </w:rPr>
        <w:t xml:space="preserve">• 2000 US std. Paired with SEER-Explorer NHW observed annual mean for the SAME</w:t>
      </w:r>
    </w:p>
    <w:p>
      <w:pPr>
        <w:spacing w:after="80"/>
      </w:pPr>
      <w:r>
        <w:rPr>
          <w:rFonts w:ascii="Malgun Gothic" w:cs="Malgun Gothic" w:eastAsia="Malgun Gothic" w:hAnsi="Malgun Gothic"/>
          <w:i w:val="false"/>
          <w:iCs w:val="false"/>
          <w:sz w:val="18"/>
          <w:szCs w:val="18"/>
        </w:rPr>
        <w:t xml:space="preserve">• window (2014-2018 = 137.4, 2000 US std). IRR 0.952 (0.851-1.065). NOTE: this</w:t>
      </w:r>
    </w:p>
    <w:p>
      <w:pPr>
        <w:spacing w:after="80"/>
      </w:pPr>
      <w:r>
        <w:rPr>
          <w:rFonts w:ascii="Malgun Gothic" w:cs="Malgun Gothic" w:eastAsia="Malgun Gothic" w:hAnsi="Malgun Gothic"/>
          <w:i w:val="false"/>
          <w:iCs w:val="false"/>
          <w:sz w:val="18"/>
          <w:szCs w:val="18"/>
        </w:rPr>
        <w:t xml:space="preserve">• overlaps (Nash 2019, same ANTR registry, 2009-2014) which reports a</w:t>
      </w:r>
    </w:p>
    <w:p>
      <w:pPr>
        <w:spacing w:after="80"/>
      </w:pPr>
      <w:r>
        <w:rPr>
          <w:rFonts w:ascii="Malgun Gothic" w:cs="Malgun Gothic" w:eastAsia="Malgun Gothic" w:hAnsi="Malgun Gothic"/>
          <w:i w:val="false"/>
          <w:iCs w:val="false"/>
          <w:sz w:val="18"/>
          <w:szCs w:val="18"/>
        </w:rPr>
        <w:t xml:space="preserve">• DIRECTLY-reported IRR 1.09 (0.99-1.21) vs in-paper US White; Nash 2019 is the</w:t>
      </w:r>
    </w:p>
    <w:p>
      <w:pPr>
        <w:spacing w:after="80"/>
      </w:pPr>
      <w:r>
        <w:rPr>
          <w:rFonts w:ascii="Malgun Gothic" w:cs="Malgun Gothic" w:eastAsia="Malgun Gothic" w:hAnsi="Malgun Gothic"/>
          <w:i w:val="false"/>
          <w:iCs w:val="false"/>
          <w:sz w:val="18"/>
          <w:szCs w:val="18"/>
        </w:rPr>
        <w:t xml:space="preserve">• cell representative, Nash 2022 is a sensitivity/overlap estimate (its 0.95 vs</w:t>
      </w:r>
    </w:p>
    <w:p>
      <w:pPr>
        <w:spacing w:after="80"/>
      </w:pPr>
      <w:r>
        <w:rPr>
          <w:rFonts w:ascii="Malgun Gothic" w:cs="Malgun Gothic" w:eastAsia="Malgun Gothic" w:hAnsi="Malgun Gothic"/>
          <w:i w:val="false"/>
          <w:iCs w:val="false"/>
          <w:sz w:val="18"/>
          <w:szCs w:val="18"/>
        </w:rPr>
        <w:t xml:space="preserve">• Nash 2019's 1.09 reflects the different period and the external NHW denominator).</w:t>
      </w:r>
    </w:p>
    <w:p>
      <w:pPr>
        <w:pStyle w:val="Heading2"/>
        <w:spacing w:after="100" w:before="200"/>
      </w:pPr>
      <w:r>
        <w:rPr>
          <w:rFonts w:ascii="Malgun Gothic" w:cs="Malgun Gothic" w:eastAsia="Malgun Gothic" w:hAnsi="Malgun Gothic"/>
          <w:b/>
          <w:bCs/>
          <w:sz w:val="20"/>
          <w:szCs w:val="20"/>
        </w:rPr>
        <w:t xml:space="preserve">4b. IRR CI from reported standard errors of rates</w:t>
      </w:r>
    </w:p>
    <w:p>
      <w:pPr>
        <w:spacing w:after="80"/>
      </w:pPr>
      <w:r>
        <w:rPr>
          <w:rFonts w:ascii="Malgun Gothic" w:cs="Malgun Gothic" w:eastAsia="Malgun Gothic" w:hAnsi="Malgun Gothic"/>
          <w:i w:val="false"/>
          <w:iCs w:val="false"/>
          <w:sz w:val="18"/>
          <w:szCs w:val="18"/>
        </w:rPr>
        <w:t xml:space="preserve">• (Wilkinson 2002, Miami-Dade Hispanic). Table 1 gives invasive</w:t>
      </w:r>
    </w:p>
    <w:p>
      <w:pPr>
        <w:spacing w:after="80"/>
      </w:pPr>
      <w:r>
        <w:rPr>
          <w:rFonts w:ascii="Malgun Gothic" w:cs="Malgun Gothic" w:eastAsia="Malgun Gothic" w:hAnsi="Malgun Gothic"/>
          <w:i w:val="false"/>
          <w:iCs w:val="false"/>
          <w:sz w:val="18"/>
          <w:szCs w:val="18"/>
        </w:rPr>
        <w:t xml:space="preserve">• breast rates with SEs: Hispanic 81.9 (SE 1.2), NHW 125.8 (SE 2.0), 1990-1998.</w:t>
      </w:r>
    </w:p>
    <w:p>
      <w:pPr>
        <w:spacing w:after="80"/>
      </w:pPr>
      <w:r>
        <w:rPr>
          <w:rFonts w:ascii="Malgun Gothic" w:cs="Malgun Gothic" w:eastAsia="Malgun Gothic" w:hAnsi="Malgun Gothic"/>
          <w:i w:val="false"/>
          <w:iCs w:val="false"/>
          <w:sz w:val="18"/>
          <w:szCs w:val="18"/>
        </w:rPr>
        <w:t xml:space="preserve">• IRR = 81.9/125.8 = 0.651; SE(log rate) = SE_rate/rate; SE(logIRR) =</w:t>
      </w:r>
    </w:p>
    <w:p>
      <w:pPr>
        <w:spacing w:after="80"/>
      </w:pPr>
      <w:r>
        <w:rPr>
          <w:rFonts w:ascii="Malgun Gothic" w:cs="Malgun Gothic" w:eastAsia="Malgun Gothic" w:hAnsi="Malgun Gothic"/>
          <w:i w:val="false"/>
          <w:iCs w:val="false"/>
          <w:sz w:val="18"/>
          <w:szCs w:val="18"/>
        </w:rPr>
        <w:t xml:space="preserve">• sqrt((1.2/81.9)^2 + (2.0/125.8)^2) = 0.0216 -&gt; IRR 0.651 (0.624-0.679).</w:t>
      </w:r>
    </w:p>
    <w:p>
      <w:pPr>
        <w:spacing w:after="80"/>
      </w:pPr>
      <w:r>
        <w:rPr>
          <w:rFonts w:ascii="Malgun Gothic" w:cs="Malgun Gothic" w:eastAsia="Malgun Gothic" w:hAnsi="Malgun Gothic"/>
          <w:i w:val="false"/>
          <w:iCs w:val="false"/>
          <w:sz w:val="18"/>
          <w:szCs w:val="18"/>
        </w:rPr>
        <w:t xml:space="preserve">• Regional aggregate Hispanic (Cuban-heavy), collapses with Carozza 2006 aggregate</w:t>
      </w:r>
    </w:p>
    <w:p>
      <w:pPr>
        <w:spacing w:after="80"/>
      </w:pPr>
      <w:r>
        <w:rPr>
          <w:rFonts w:ascii="Malgun Gothic" w:cs="Malgun Gothic" w:eastAsia="Malgun Gothic" w:hAnsi="Malgun Gothic"/>
          <w:i w:val="false"/>
          <w:iCs w:val="false"/>
          <w:sz w:val="18"/>
          <w:szCs w:val="18"/>
        </w:rPr>
        <w:t xml:space="preserve">• Hispanic (sensitivity/overlap).</w:t>
      </w:r>
    </w:p>
    <w:p>
      <w:pPr>
        <w:pStyle w:val="Heading2"/>
        <w:spacing w:after="100" w:before="200"/>
      </w:pPr>
      <w:r>
        <w:rPr>
          <w:rFonts w:ascii="Malgun Gothic" w:cs="Malgun Gothic" w:eastAsia="Malgun Gothic" w:hAnsi="Malgun Gothic"/>
          <w:b/>
          <w:bCs/>
          <w:sz w:val="20"/>
          <w:szCs w:val="20"/>
        </w:rPr>
        <w:t xml:space="preserve">5b. Author-reported rate ratios taken as directly reported</w:t>
      </w:r>
    </w:p>
    <w:p>
      <w:pPr>
        <w:spacing w:after="80"/>
      </w:pPr>
      <w:r>
        <w:rPr>
          <w:rFonts w:ascii="Malgun Gothic" w:cs="Malgun Gothic" w:eastAsia="Malgun Gothic" w:hAnsi="Malgun Gothic"/>
          <w:i w:val="false"/>
          <w:iCs w:val="false"/>
          <w:sz w:val="18"/>
          <w:szCs w:val="18"/>
        </w:rPr>
        <w:t xml:space="preserve">• (Nasseri 2009, Middle Eastern-California). Authors print the rate</w:t>
      </w:r>
    </w:p>
    <w:p>
      <w:pPr>
        <w:spacing w:after="80"/>
      </w:pPr>
      <w:r>
        <w:rPr>
          <w:rFonts w:ascii="Malgun Gothic" w:cs="Malgun Gothic" w:eastAsia="Malgun Gothic" w:hAnsi="Malgun Gothic"/>
          <w:i w:val="false"/>
          <w:iCs w:val="false"/>
          <w:sz w:val="18"/>
          <w:szCs w:val="18"/>
        </w:rPr>
        <w:t xml:space="preserve">• ratio and its CI: invasive breast 0.86 (126.2/146.9, 95% CI 0.84-0.88); taken</w:t>
      </w:r>
    </w:p>
    <w:p>
      <w:pPr>
        <w:spacing w:after="80"/>
      </w:pPr>
      <w:r>
        <w:rPr>
          <w:rFonts w:ascii="Malgun Gothic" w:cs="Malgun Gothic" w:eastAsia="Malgun Gothic" w:hAnsi="Malgun Gothic"/>
          <w:i w:val="false"/>
          <w:iCs w:val="false"/>
          <w:sz w:val="18"/>
          <w:szCs w:val="18"/>
        </w:rPr>
        <w:t xml:space="preserve">• as `directly-reported-IRR`. Standard not stated but NHW=146.9 implies 2000 US.</w:t>
      </w:r>
    </w:p>
    <w:p>
      <w:pPr>
        <w:spacing w:after="80"/>
      </w:pPr>
      <w:r>
        <w:rPr>
          <w:rFonts w:ascii="Malgun Gothic" w:cs="Malgun Gothic" w:eastAsia="Malgun Gothic" w:hAnsi="Malgun Gothic"/>
          <w:i w:val="false"/>
          <w:iCs w:val="false"/>
          <w:sz w:val="18"/>
          <w:szCs w:val="18"/>
        </w:rPr>
        <w:t xml:space="preserve">• New MENA analytic cell.</w:t>
      </w:r>
    </w:p>
    <w:p>
      <w:pPr>
        <w:spacing w:after="80"/>
      </w:pPr>
      <w:r>
        <w:rPr>
          <w:rFonts w:ascii="Malgun Gothic" w:cs="Malgun Gothic" w:eastAsia="Malgun Gothic" w:hAnsi="Malgun Gothic"/>
          <w:i w:val="false"/>
          <w:iCs w:val="false"/>
          <w:sz w:val="18"/>
          <w:szCs w:val="18"/>
        </w:rPr>
        <w:t xml:space="preserve">• (Goggins 2009, Asian Indian/Pakistani). Table 1 prints the female</w:t>
      </w:r>
    </w:p>
    <w:p>
      <w:pPr>
        <w:spacing w:after="80"/>
      </w:pPr>
      <w:r>
        <w:rPr>
          <w:rFonts w:ascii="Malgun Gothic" w:cs="Malgun Gothic" w:eastAsia="Malgun Gothic" w:hAnsi="Malgun Gothic"/>
          <w:i w:val="false"/>
          <w:iCs w:val="false"/>
          <w:sz w:val="18"/>
          <w:szCs w:val="18"/>
        </w:rPr>
        <w:t xml:space="preserve">• breast SIR relative to US White = 0.61 (0.56-0.66); `directly-reported-SIR`.</w:t>
      </w:r>
    </w:p>
    <w:p>
      <w:pPr>
        <w:spacing w:after="80"/>
      </w:pPr>
      <w:r>
        <w:rPr>
          <w:rFonts w:ascii="Malgun Gothic" w:cs="Malgun Gothic" w:eastAsia="Malgun Gothic" w:hAnsi="Malgun Gothic"/>
          <w:i w:val="false"/>
          <w:iCs w:val="false"/>
          <w:sz w:val="18"/>
          <w:szCs w:val="18"/>
        </w:rPr>
        <w:t xml:space="preserve">• Overlaps Gomez 2026 Asian Indian/Pakistani (sensitivity). CONTAMINATION NOTE: the</w:t>
      </w:r>
    </w:p>
    <w:p>
      <w:pPr>
        <w:spacing w:after="80"/>
      </w:pPr>
      <w:r>
        <w:rPr>
          <w:rFonts w:ascii="Malgun Gothic" w:cs="Malgun Gothic" w:eastAsia="Malgun Gothic" w:hAnsi="Malgun Gothic"/>
          <w:i w:val="false"/>
          <w:iCs w:val="false"/>
          <w:sz w:val="18"/>
          <w:szCs w:val="18"/>
        </w:rPr>
        <w:t xml:space="preserve">• uploaded 461.pdf is byte-for-byte this Goggins paper (mis-named); the SIR was</w:t>
      </w:r>
    </w:p>
    <w:p>
      <w:pPr>
        <w:spacing w:after="80"/>
      </w:pPr>
      <w:r>
        <w:rPr>
          <w:rFonts w:ascii="Malgun Gothic" w:cs="Malgun Gothic" w:eastAsia="Malgun Gothic" w:hAnsi="Malgun Gothic"/>
          <w:i w:val="false"/>
          <w:iCs w:val="false"/>
          <w:sz w:val="18"/>
          <w:szCs w:val="18"/>
        </w:rPr>
        <w:t xml:space="preserve">• attributed to its correct record (955), NOT to (Northern Plains AI/AN),</w:t>
      </w:r>
    </w:p>
    <w:p>
      <w:pPr>
        <w:spacing w:after="80"/>
      </w:pPr>
      <w:r>
        <w:rPr>
          <w:rFonts w:ascii="Malgun Gothic" w:cs="Malgun Gothic" w:eastAsia="Malgun Gothic" w:hAnsi="Malgun Gothic"/>
          <w:i w:val="false"/>
          <w:iCs w:val="false"/>
          <w:sz w:val="18"/>
          <w:szCs w:val="18"/>
        </w:rPr>
        <w:t xml:space="preserve">• whose correct full text is still unavailable (deferred).</w:t>
      </w:r>
    </w:p>
    <w:p>
      <w:pPr>
        <w:pStyle w:val="Heading2"/>
        <w:spacing w:after="100" w:before="200"/>
      </w:pPr>
      <w:r>
        <w:rPr>
          <w:rFonts w:ascii="Malgun Gothic" w:cs="Malgun Gothic" w:eastAsia="Malgun Gothic" w:hAnsi="Malgun Gothic"/>
          <w:b/>
          <w:bCs/>
          <w:sz w:val="20"/>
          <w:szCs w:val="20"/>
        </w:rPr>
        <w:t xml:space="preserve">Contamination / mis-classification catches (this extraction pass)</w:t>
      </w:r>
    </w:p>
    <w:p>
      <w:pPr>
        <w:spacing w:after="80"/>
      </w:pPr>
      <w:r>
        <w:rPr>
          <w:rFonts w:ascii="Malgun Gothic" w:cs="Malgun Gothic" w:eastAsia="Malgun Gothic" w:hAnsi="Malgun Gothic"/>
          <w:i w:val="false"/>
          <w:iCs w:val="false"/>
          <w:sz w:val="18"/>
          <w:szCs w:val="18"/>
        </w:rPr>
        <w:t xml:space="preserve">• the npj Breast Cancer 2026 mortality study flattened numbers looked like subtype IRRs but rendering showed</w:t>
      </w:r>
    </w:p>
    <w:p>
      <w:pPr>
        <w:spacing w:after="80"/>
      </w:pPr>
      <w:r>
        <w:rPr>
          <w:rFonts w:ascii="Malgun Gothic" w:cs="Malgun Gothic" w:eastAsia="Malgun Gothic" w:hAnsi="Malgun Gothic"/>
          <w:i w:val="false"/>
          <w:iCs w:val="false"/>
          <w:sz w:val="18"/>
          <w:szCs w:val="18"/>
        </w:rPr>
        <w:t xml:space="preserve">• they are mortality HAZARD RATIOS (Cox models) — demoted (not incidence).</w:t>
      </w:r>
    </w:p>
    <w:p>
      <w:pPr>
        <w:spacing w:after="80"/>
      </w:pPr>
      <w:r>
        <w:rPr>
          <w:rFonts w:ascii="Malgun Gothic" w:cs="Malgun Gothic" w:eastAsia="Malgun Gothic" w:hAnsi="Malgun Gothic"/>
          <w:i w:val="false"/>
          <w:iCs w:val="false"/>
          <w:sz w:val="18"/>
          <w:szCs w:val="18"/>
        </w:rPr>
        <w:t xml:space="preserve">• (Hmong-Minnesota) comparator is "All Minnesotans"/API (total</w:t>
      </w:r>
    </w:p>
    <w:p>
      <w:pPr>
        <w:spacing w:after="80"/>
      </w:pPr>
      <w:r>
        <w:rPr>
          <w:rFonts w:ascii="Malgun Gothic" w:cs="Malgun Gothic" w:eastAsia="Malgun Gothic" w:hAnsi="Malgun Gothic"/>
          <w:i w:val="false"/>
          <w:iCs w:val="false"/>
          <w:sz w:val="18"/>
          <w:szCs w:val="18"/>
        </w:rPr>
        <w:t xml:space="preserve">• population, both sexes), not NHW women — demoted (incomparable; the clean</w:t>
      </w:r>
    </w:p>
    <w:p>
      <w:pPr>
        <w:spacing w:after="80"/>
      </w:pPr>
      <w:r>
        <w:rPr>
          <w:rFonts w:ascii="Malgun Gothic" w:cs="Malgun Gothic" w:eastAsia="Malgun Gothic" w:hAnsi="Malgun Gothic"/>
          <w:i w:val="false"/>
          <w:iCs w:val="false"/>
          <w:sz w:val="18"/>
          <w:szCs w:val="18"/>
        </w:rPr>
        <w:t xml:space="preserve">• Hmong-vs-NHW female estimate comes from Mills 2005 instead).</w:t>
      </w:r>
    </w:p>
    <w:p>
      <w:pPr>
        <w:spacing w:after="80"/>
      </w:pPr>
      <w:r>
        <w:rPr>
          <w:rFonts w:ascii="Malgun Gothic" w:cs="Malgun Gothic" w:eastAsia="Malgun Gothic" w:hAnsi="Malgun Gothic"/>
          <w:i w:val="false"/>
          <w:iCs w:val="false"/>
          <w:sz w:val="18"/>
          <w:szCs w:val="18"/>
        </w:rPr>
        <w:t xml:space="preserve">• the Northern Plains AI/AN study, Goggins 2009 PDF mis-filing resolved as above.</w:t>
      </w:r>
    </w:p>
    <w:p>
      <w:pPr>
        <w:pStyle w:val="Heading2"/>
        <w:spacing w:after="100" w:before="200"/>
      </w:pPr>
      <w:r>
        <w:rPr>
          <w:rFonts w:ascii="Malgun Gothic" w:cs="Malgun Gothic" w:eastAsia="Malgun Gothic" w:hAnsi="Malgun Gothic"/>
          <w:b/>
          <w:bCs/>
          <w:sz w:val="20"/>
          <w:szCs w:val="20"/>
        </w:rPr>
        <w:t xml:space="preserve">5. Direction conversion</w:t>
      </w:r>
    </w:p>
    <w:p>
      <w:pPr>
        <w:spacing w:after="80"/>
      </w:pPr>
      <w:r>
        <w:rPr>
          <w:rFonts w:ascii="Malgun Gothic" w:cs="Malgun Gothic" w:eastAsia="Malgun Gothic" w:hAnsi="Malgun Gothic"/>
          <w:i w:val="false"/>
          <w:iCs w:val="false"/>
          <w:sz w:val="18"/>
          <w:szCs w:val="18"/>
        </w:rPr>
        <w:t xml:space="preserve">• (Kong 2020). Subtype IRRs are printed minority-vs-NHW (verified from</w:t>
      </w:r>
    </w:p>
    <w:p>
      <w:pPr>
        <w:spacing w:after="80"/>
      </w:pPr>
      <w:r>
        <w:rPr>
          <w:rFonts w:ascii="Malgun Gothic" w:cs="Malgun Gothic" w:eastAsia="Malgun Gothic" w:hAnsi="Malgun Gothic"/>
          <w:i w:val="false"/>
          <w:iCs w:val="false"/>
          <w:sz w:val="18"/>
          <w:szCs w:val="18"/>
        </w:rPr>
        <w:t xml:space="preserve">• "In [minority]… higher/lower than NHW") → taken as-is. The overall Black</w:t>
      </w:r>
    </w:p>
    <w:p>
      <w:pPr>
        <w:spacing w:after="80"/>
      </w:pPr>
      <w:r>
        <w:rPr>
          <w:rFonts w:ascii="Malgun Gothic" w:cs="Malgun Gothic" w:eastAsia="Malgun Gothic" w:hAnsi="Malgun Gothic"/>
          <w:i w:val="false"/>
          <w:iCs w:val="false"/>
          <w:sz w:val="18"/>
          <w:szCs w:val="18"/>
        </w:rPr>
        <w:t xml:space="preserve">• statement is printed NHW-vs-Black (1.04) → would invert to 0.96; left unrecorded</w:t>
      </w:r>
    </w:p>
    <w:p>
      <w:pPr>
        <w:spacing w:after="80"/>
      </w:pPr>
      <w:r>
        <w:rPr>
          <w:rFonts w:ascii="Malgun Gothic" w:cs="Malgun Gothic" w:eastAsia="Malgun Gothic" w:hAnsi="Malgun Gothic"/>
          <w:i w:val="false"/>
          <w:iCs w:val="false"/>
          <w:sz w:val="18"/>
          <w:szCs w:val="18"/>
        </w:rPr>
        <w:t xml:space="preserve">• as ambiguous.</w:t>
      </w:r>
    </w:p>
    <w:p>
      <w:pPr>
        <w:pStyle w:val="Heading2"/>
        <w:spacing w:after="100" w:before="200"/>
      </w:pPr>
      <w:r>
        <w:rPr>
          <w:rFonts w:ascii="Malgun Gothic" w:cs="Malgun Gothic" w:eastAsia="Malgun Gothic" w:hAnsi="Malgun Gothic"/>
          <w:b/>
          <w:bCs/>
          <w:sz w:val="20"/>
          <w:szCs w:val="20"/>
        </w:rPr>
        <w:t xml:space="preserve">Open item</w:t>
      </w:r>
    </w:p>
    <w:p>
      <w:pPr>
        <w:spacing w:after="80"/>
      </w:pPr>
      <w:r>
        <w:rPr>
          <w:rFonts w:ascii="Malgun Gothic" w:cs="Malgun Gothic" w:eastAsia="Malgun Gothic" w:hAnsi="Malgun Gothic"/>
          <w:i w:val="false"/>
          <w:iCs w:val="false"/>
          <w:sz w:val="18"/>
          <w:szCs w:val="18"/>
        </w:rPr>
        <w:t xml:space="preserve">• CIs are missing for the Howlader 2014 age-standardized IRRs and for a few rate-only</w:t>
      </w:r>
    </w:p>
    <w:p>
      <w:pPr>
        <w:spacing w:after="80"/>
      </w:pPr>
      <w:r>
        <w:rPr>
          <w:rFonts w:ascii="Malgun Gothic" w:cs="Malgun Gothic" w:eastAsia="Malgun Gothic" w:hAnsi="Malgun Gothic"/>
          <w:i w:val="false"/>
          <w:iCs w:val="false"/>
          <w:sz w:val="18"/>
          <w:szCs w:val="18"/>
        </w:rPr>
        <w:t xml:space="preserve">• rows (McCracken 2007, 100, 381). These enter the MAIN forest as point estimates and</w:t>
      </w:r>
    </w:p>
    <w:p>
      <w:pPr>
        <w:spacing w:after="80"/>
      </w:pPr>
      <w:r>
        <w:rPr>
          <w:rFonts w:ascii="Malgun Gothic" w:cs="Malgun Gothic" w:eastAsia="Malgun Gothic" w:hAnsi="Malgun Gothic"/>
          <w:i w:val="false"/>
          <w:iCs w:val="false"/>
          <w:sz w:val="18"/>
          <w:szCs w:val="18"/>
        </w:rPr>
        <w:t xml:space="preserve">• the sensitivity/precision-weighted pooling notes this. If exact CIs or case</w:t>
      </w:r>
    </w:p>
    <w:p>
      <w:pPr>
        <w:spacing w:after="80"/>
      </w:pPr>
      <w:r>
        <w:rPr>
          <w:rFonts w:ascii="Malgun Gothic" w:cs="Malgun Gothic" w:eastAsia="Malgun Gothic" w:hAnsi="Malgun Gothic"/>
          <w:i w:val="false"/>
          <w:iCs w:val="false"/>
          <w:sz w:val="18"/>
          <w:szCs w:val="18"/>
        </w:rPr>
        <w:t xml:space="preserve">• counts are later obtained, upgrade provenance and add CIs.</w:t>
      </w:r>
    </w:p>
    <w:p>
      <w:r>
        <w:br w:type="page"/>
      </w:r>
    </w:p>
    <w:p>
      <w:pPr>
        <w:sectPr>
          <w:pgSz w:w="15840" w:h="12240" w:orient="landscape"/>
          <w:pgMar w:top="720" w:right="720" w:bottom="720" w:left="720" w:header="708" w:footer="708" w:gutter="0"/>
          <w:pgNumType/>
          <w:docGrid w:linePitch="360"/>
        </w:sectPr>
      </w:pPr>
    </w:p>
    <w:p>
      <w:pPr>
        <w:pStyle w:val="Heading1"/>
        <w:spacing w:after="100" w:before="200"/>
      </w:pPr>
      <w:r>
        <w:rPr>
          <w:rFonts w:ascii="Malgun Gothic" w:cs="Malgun Gothic" w:eastAsia="Malgun Gothic" w:hAnsi="Malgun Gothic"/>
          <w:b/>
          <w:bCs/>
          <w:sz w:val="24"/>
          <w:szCs w:val="24"/>
        </w:rPr>
        <w:t xml:space="preserve">Supplementary Figure 1. Pooled forest plots — aggregate racial/ethnic groups</w:t>
      </w:r>
    </w:p>
    <w:p>
      <w:pPr>
        <w:spacing w:after="80"/>
      </w:pPr>
      <w:r>
        <w:rPr>
          <w:rFonts w:ascii="Malgun Gothic" w:cs="Malgun Gothic" w:eastAsia="Malgun Gothic" w:hAnsi="Malgun Gothic"/>
          <w:i/>
          <w:iCs/>
          <w:sz w:val="18"/>
          <w:szCs w:val="18"/>
        </w:rPr>
        <w:t xml:space="preserve">Every contributing study per group with the random-effects pooled diamond (Paule-Mandel/REML + Hartung-Knapp) and I². The high I² reflects non-independent overlapping registry data (all-included / sensitivity pooling); the main analysis instead uses one representative per registry family (Table 4).</w:t>
      </w:r>
    </w:p>
    <w:p>
      <w:pPr>
        <w:jc w:val="center"/>
      </w:pPr>
      <w:r>
        <w:drawing>
          <wp:inline distT="0" distB="0" distL="0" distR="0">
            <wp:extent cx="5734050" cy="8382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734050" cy="8382000"/>
                    </a:xfrm>
                    <a:prstGeom prst="rect">
                      <a:avLst/>
                    </a:prstGeom>
                  </pic:spPr>
                </pic:pic>
              </a:graphicData>
            </a:graphic>
          </wp:inline>
        </w:drawing>
      </w:r>
    </w:p>
    <w:p>
      <w:pPr>
        <w:spacing w:after="80"/>
      </w:pPr>
    </w:p>
    <w:p>
      <w:r>
        <w:br w:type="page"/>
      </w:r>
    </w:p>
    <w:p>
      <w:pPr>
        <w:pStyle w:val="Heading1"/>
        <w:spacing w:after="100" w:before="200"/>
      </w:pPr>
      <w:r>
        <w:rPr>
          <w:rFonts w:ascii="Malgun Gothic" w:cs="Malgun Gothic" w:eastAsia="Malgun Gothic" w:hAnsi="Malgun Gothic"/>
          <w:b/>
          <w:bCs/>
          <w:sz w:val="24"/>
          <w:szCs w:val="24"/>
        </w:rPr>
        <w:t xml:space="preserve">Supplementary Figure 2. Pooled forest plots — triple-negative breast cancer</w:t>
      </w:r>
    </w:p>
    <w:p>
      <w:pPr>
        <w:jc w:val="center"/>
      </w:pPr>
      <w:r>
        <w:drawing>
          <wp:inline distT="0" distB="0" distL="0" distR="0">
            <wp:extent cx="6477000" cy="4438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6477000" cy="4438650"/>
                    </a:xfrm>
                    <a:prstGeom prst="rect">
                      <a:avLst/>
                    </a:prstGeom>
                  </pic:spPr>
                </pic:pic>
              </a:graphicData>
            </a:graphic>
          </wp:inline>
        </w:drawing>
      </w:r>
    </w:p>
    <w:p>
      <w:pPr>
        <w:spacing w:after="80"/>
      </w:pPr>
    </w:p>
    <w:p>
      <w:r>
        <w:br w:type="page"/>
      </w:r>
    </w:p>
    <w:p>
      <w:pPr>
        <w:pStyle w:val="Heading1"/>
        <w:spacing w:after="100" w:before="200"/>
      </w:pPr>
      <w:r>
        <w:rPr>
          <w:rFonts w:ascii="Malgun Gothic" w:cs="Malgun Gothic" w:eastAsia="Malgun Gothic" w:hAnsi="Malgun Gothic"/>
          <w:b/>
          <w:bCs/>
          <w:sz w:val="24"/>
          <w:szCs w:val="24"/>
        </w:rPr>
        <w:t xml:space="preserve">Supplementary Figure 3. Pooled forest plots — disaggregated subgroups with ≥2 studies</w:t>
      </w:r>
    </w:p>
    <w:p>
      <w:pPr>
        <w:jc w:val="center"/>
      </w:pPr>
      <w:r>
        <w:drawing>
          <wp:inline distT="0" distB="0" distL="0" distR="0">
            <wp:extent cx="6477000" cy="5629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477000" cy="5629275"/>
                    </a:xfrm>
                    <a:prstGeom prst="rect">
                      <a:avLst/>
                    </a:prstGeom>
                  </pic:spPr>
                </pic:pic>
              </a:graphicData>
            </a:graphic>
          </wp:inline>
        </w:drawing>
      </w:r>
    </w:p>
    <w:p>
      <w:pPr>
        <w:spacing w:after="80"/>
      </w:pPr>
    </w:p>
    <w:sectPr>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algun Gothic" w:cs="Malgun Gothic" w:eastAsia="Malgun Gothic" w:hAnsi="Malgun Gothic"/>
        <w:sz w:val="18"/>
        <w:szCs w:val="18"/>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bcd52e56431f6c566a74049906847fff298e04de.png"/><Relationship Id="rId8" Type="http://schemas.openxmlformats.org/officeDocument/2006/relationships/image" Target="media/ce733517712e4363cffe22202b140ab6a4e17c04.png"/><Relationship Id="rId9" Type="http://schemas.openxmlformats.org/officeDocument/2006/relationships/image" Target="media/a0ac2071944871291c8f9553127667b80a1d18ee.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2026-08-17T11:28:41.869Z</dcterms:created>
  <dcterms:modified xsi:type="dcterms:W3CDTF">2026-08-17T11:28:41.869Z</dcterms:modified>
</cp:coreProperties>
</file>

<file path=docProps/custom.xml><?xml version="1.0" encoding="utf-8"?>
<Properties xmlns="http://schemas.openxmlformats.org/officeDocument/2006/custom-properties" xmlns:vt="http://schemas.openxmlformats.org/officeDocument/2006/docPropsVTypes"/>
</file>