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Because records were screened by a single reviewer with model assistance rather than by two independent reviewers, the model's title and abstract exclusions were audited for false negatives — eligible studies wrongly excluded.</w:t>
      </w:r>
    </w:p>
    <w:p>
      <w:pPr>
        <w:spacing w:after="80"/>
      </w:pPr>
      <w:r>
        <w:rPr>
          <w:rFonts w:ascii="Malgun Gothic" w:cs="Malgun Gothic" w:eastAsia="Malgun Gothic" w:hAnsi="Malgun Gothic"/>
          <w:i/>
          <w:iCs/>
          <w:sz w:val="18"/>
          <w:szCs w:val="18"/>
        </w:rPr>
        <w:t xml:space="preserve">Method. A random sample of 200 excluded records (Python random.seed(42)) was read against the eligibility criteria, reading the abstract where the title was insufficient; the full excluded pool was then scanned for the same signature — breast cancer, an incidence or rate term, a race or ethnicity term, and a U.S. registry or population term, minus obvious-exclusion markers — and the strongest matches read in full.</w:t>
      </w:r>
    </w:p>
    <w:p>
      <w:pPr>
        <w:spacing w:after="80"/>
      </w:pPr>
      <w:r>
        <w:rPr>
          <w:rFonts w:ascii="Malgun Gothic" w:cs="Malgun Gothic" w:eastAsia="Malgun Gothic" w:hAnsi="Malgun Gothic"/>
          <w:i/>
          <w:iCs/>
          <w:sz w:val="18"/>
          <w:szCs w:val="18"/>
        </w:rPr>
        <w:t xml:space="preserve">Result. Three wrongly excluded studies were confirmed and added to the quantitative synthesis as single-state or regional overlaps, none changing a cell representative: a Louisiana Tumor Registry triple-negative study (Black versus an unstratified White reference, rate ratio 2.21, 95% CI 1.96–2.48) and two Massachusetts Cancer Registry reports (Krieger 2018; Wright 2022, age-standardized incidence by race, IRRs versus NHW by the delta method). Each is a segregation- or neighborhood-focused report whose headline exposure is not race but which carries a secondary race-specific incidence table. A SEER inflammatory-breast-cancer study (Schairer 2012) fit the pattern but reports a morphological subtype outside the receptor-defined cells and went to the narrative synthesis, and two socioeconomic-gradient studies (Akinyemiju 2015; Hernandez 2025) were confirmed correctly excluded.</w:t>
      </w:r>
    </w:p>
    <w:p>
      <w:pPr>
        <w:spacing w:after="80"/>
      </w:pPr>
      <w:r>
        <w:rPr>
          <w:rFonts w:ascii="Malgun Gothic" w:cs="Malgun Gothic" w:eastAsia="Malgun Gothic" w:hAnsi="Malgun Gothic"/>
          <w:i/>
          <w:iCs/>
          <w:sz w:val="18"/>
          <w:szCs w:val="18"/>
        </w:rPr>
        <w:t xml:space="preserve">Conclusion. The sample yielded about one eligible study in 200 and the full-pool scan two more — a small but non-zero residual false-negative rate; single-reviewer screening with model assistance is recorded as a limitation in the Discussion. Separately, later source re-verification that rendered the quantitative reports' tables as page images recovered extractable data missed on the first text pass — additional overlapping cells within already-included studies, and four reports first placed in the narrative set moved to the quantitative synthesis — none displacing a national representative.</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2026-09-13T09:57:54.825Z</dcterms:created>
  <dcterms:modified xsi:type="dcterms:W3CDTF">2026-09-13T09:57:54.825Z</dcterms:modified>
</cp:coreProperties>
</file>

<file path=docProps/custom.xml><?xml version="1.0" encoding="utf-8"?>
<Properties xmlns="http://schemas.openxmlformats.org/officeDocument/2006/custom-properties" xmlns:vt="http://schemas.openxmlformats.org/officeDocument/2006/docPropsVTypes"/>
</file>