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differing in populations, periods, and reference groups, and not yet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included—49 eligible for quantitative synthesis and 113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In all, 162 publications were included in the systematic review; of these, 49 were eligible for quantitative synthesis and the remaining 113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49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Each representative therefore rested on a directly reported ratio or on minority and reference rates from the same source.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(reasons in Supplementary Table 3), giving 162 included studies (Figure 1). Of these, 49 were eligible for quantitative synthesis and entered the analysis, contributing 163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113 informed the narrative synthesis (162 = 49 + 113). The extracted studies were published between 2002 and 2026 and drew on SEER, NPCR and USCS, NAACCR, IHS-linked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with the Northern Plains at 1.05 (a point estimate without a confidence interval). These regional figures and the national AI/AN aggregate (0.87, also a point estimate) are from Indian Health Service–linked sources, which correct the undercounting of AI/AN cases in unlinked registries.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IRR, or age-standardized rates, from which a comparison with an NHW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49 studies were at low risk of bias and 10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and the age-specific cells; restricting to directly reported estimates left 36 unchanged (5 changed, 32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place AI/AN breast incidence near or above the NHW rate—Northern Plains 1.05, Alaska Native women 1.09 (confidence interval spanning 1.0), and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2ceb882f30d76dc6a4cf95b7641333aac240bb.png"/><Relationship Id="rId8" Type="http://schemas.openxmlformats.org/officeDocument/2006/relationships/image" Target="media/12fffc45213a8b9751759587fb6c56076048306a.png"/><Relationship Id="rId9" Type="http://schemas.openxmlformats.org/officeDocument/2006/relationships/image" Target="media/fa1fb41e1c180dbd0654e51c5e3ad9d8e17401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2026-09-09T09:34:39.089Z</dcterms:created>
  <dcterms:modified xsi:type="dcterms:W3CDTF">2026-09-09T09:34:39.090Z</dcterms:modified>
</cp:coreProperties>
</file>

<file path=docProps/custom.xml><?xml version="1.0" encoding="utf-8"?>
<Properties xmlns="http://schemas.openxmlformats.org/officeDocument/2006/custom-properties" xmlns:vt="http://schemas.openxmlformats.org/officeDocument/2006/docPropsVTypes"/>
</file>