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arranges aggregate and subgroup results on one axis for comparison—though the estimates are not fully commensurable, for the reasons set out under the limitations below, and the arrangement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because the cells are drawn from different studies, differences in standard population, underlying age structure, registry region, and diagnosis period remain embedded in the ratios and are not cancelled by the common comparator. A ratio removes the shared standard-population scaling only when its numerator and denominator come from the same source and standardization—which holds within each cell but not across cells. Diagnosis period and registry region differed across cells and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studies agree and where they do not: the aggregate ordering and most subgroup estimates held across the low-risk-of-bias, directly-reported, NHW-comparator, and standard-population restrictions, while a few near-null differences—chiefly among Asian American subgroups, notably Japanese women—changed sign with the source, and the AI/AN comparison depended on whether case ascertainment was IHS-linked. Reviewing the studies jointly rather than singly therefore confirmed something no individual report, confined to its own registry and period, could establish: that the wide within-aggregate heterogeneity is reproducible across independent registries and stable under the risk-of-bias, provenance, comparator, and standard-population restrictions, and is concordant with the earlier single-population studies it draws together—so the pattern reflects real differences rather than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standard population, period, and region, these estimates are best read as a comparable-scale summary of the available evidence rather than as mutually calibrated rates, with the provenance and comparator of each estimate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2026-09-12T09:44:03.066Z</dcterms:created>
  <dcterms:modified xsi:type="dcterms:W3CDTF">2026-09-12T09:44:03.066Z</dcterms:modified>
</cp:coreProperties>
</file>

<file path=docProps/custom.xml><?xml version="1.0" encoding="utf-8"?>
<Properties xmlns="http://schemas.openxmlformats.org/officeDocument/2006/custom-properties" xmlns:vt="http://schemas.openxmlformats.org/officeDocument/2006/docPropsVTypes"/>
</file>