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47 studies assessed, 38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58 of 76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38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76 cells unchanged, 1 changed, 19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2026-09-01T08:38:49.789Z</dcterms:created>
  <dcterms:modified xsi:type="dcterms:W3CDTF">2026-09-01T08:38:49.789Z</dcterms:modified>
</cp:coreProperties>
</file>

<file path=docProps/custom.xml><?xml version="1.0" encoding="utf-8"?>
<Properties xmlns="http://schemas.openxmlformats.org/officeDocument/2006/custom-properties" xmlns:vt="http://schemas.openxmlformats.org/officeDocument/2006/docPropsVTypes"/>
</file>