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114 contributed to the narrative synthesis only (162 = 43 + 5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57 of 75 cells unchanged, 8 changed, 10 dropped. The changed and dropped cells were concentrated in the disaggregated AANHPI subgroups (with a few age-specific and Middle Eastern cells), whose representatives are computed estimates from moderate-risk-of-bias sources; the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37 unchanged, 5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75 cells unchanged, 1 changed, 18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age-specific Black and US-born nativity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w:t>
      </w:r>
    </w:p>
    <w:p>
      <w:pPr>
        <w:spacing w:after="80"/>
      </w:pPr>
      <w:r>
        <w:rPr>
          <w:rFonts w:ascii="Malgun Gothic" w:cs="Malgun Gothic" w:eastAsia="Malgun Gothic" w:hAnsi="Malgun Gothic"/>
          <w:i w:val="false"/>
          <w:iCs w:val="false"/>
          <w:sz w:val="18"/>
          <w:szCs w:val="18"/>
        </w:rPr>
        <w:t xml:space="preserve">• Table 2 prints all-ages age-standardized (2000 US) breast rates: AI/AN 134.6,</w:t>
      </w:r>
    </w:p>
    <w:p>
      <w:pPr>
        <w:spacing w:after="80"/>
      </w:pPr>
      <w:r>
        <w:rPr>
          <w:rFonts w:ascii="Malgun Gothic" w:cs="Malgun Gothic" w:eastAsia="Malgun Gothic" w:hAnsi="Malgun Gothic"/>
          <w:i w:val="false"/>
          <w:iCs w:val="false"/>
          <w:sz w:val="18"/>
          <w:szCs w:val="18"/>
        </w:rPr>
        <w:t xml:space="preserve">• NHW 149.3, RR 0.9. IRR = 134.6/149.3 = 0.902. Unlinked state registries</w:t>
      </w:r>
    </w:p>
    <w:p>
      <w:pPr>
        <w:spacing w:after="80"/>
      </w:pPr>
      <w:r>
        <w:rPr>
          <w:rFonts w:ascii="Malgun Gothic" w:cs="Malgun Gothic" w:eastAsia="Malgun Gothic" w:hAnsi="Malgun Gothic"/>
          <w:i w:val="false"/>
          <w:iCs w:val="false"/>
          <w:sz w:val="18"/>
          <w:szCs w:val="18"/>
        </w:rPr>
        <w:t xml:space="preserve">• undercount AI/AN, so this is demoted by the AI/AN-undercount rule below the</w:t>
      </w:r>
    </w:p>
    <w:p>
      <w:pPr>
        <w:spacing w:after="80"/>
      </w:pPr>
      <w:r>
        <w:rPr>
          <w:rFonts w:ascii="Malgun Gothic" w:cs="Malgun Gothic" w:eastAsia="Malgun Gothic" w:hAnsi="Malgun Gothic"/>
          <w:i w:val="false"/>
          <w:iCs w:val="false"/>
          <w:sz w:val="18"/>
          <w:szCs w:val="18"/>
        </w:rPr>
        <w:t xml:space="preserve">• IHS-linked Northern-Plains representative (Melkonian 2021).</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API 9.5 per 100,000. IRR = rate/12.8 (NHB 1.95, Hispanic 0.90,</w:t>
      </w:r>
    </w:p>
    <w:p>
      <w:pPr>
        <w:spacing w:after="80"/>
      </w:pPr>
      <w:r>
        <w:rPr>
          <w:rFonts w:ascii="Malgun Gothic" w:cs="Malgun Gothic" w:eastAsia="Malgun Gothic" w:hAnsi="Malgun Gothic"/>
          <w:i w:val="false"/>
          <w:iCs w:val="false"/>
          <w:sz w:val="18"/>
          <w:szCs w:val="18"/>
        </w:rPr>
        <w:t xml:space="preserve">• AI/AN 0.73, API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2026-09-01T09:15:37.115Z</dcterms:created>
  <dcterms:modified xsi:type="dcterms:W3CDTF">2026-09-01T09:15:37.115Z</dcterms:modified>
</cp:coreProperties>
</file>

<file path=docProps/custom.xml><?xml version="1.0" encoding="utf-8"?>
<Properties xmlns="http://schemas.openxmlformats.org/officeDocument/2006/custom-properties" xmlns:vt="http://schemas.openxmlformats.org/officeDocument/2006/docPropsVTypes"/>
</file>