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relative to a White or non-Hispanic White (NHW) comparator, following PRISMA 2020.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(43 with extractable data)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is also shaped by how race is recorded: central registries that assign race by observation misclassify many AI/AN cases as non-Native, which understates their rates. Espey and colleagues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corrected this by linking registry records to Indian Health Service (IHS) enrollment, and the corrected rates were highest in the Northern and Southern Plains and in Alaska, where cancer in Alaska Native women has been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162 publications were included in the systematic review; of these, 48 were eligible for quantitative synthesis (43 provided extractable quantitative data)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an age band, or nativity)—and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80 were excluded, giving 162 included studies (Figure 1). Of these, 48 were eligible for quantitative synthesis: 43 provided extractable estimates (143 individual estimates across racial/ethnic groups and analytic dimensions)</w:t>
      </w:r>
      <w:r>
        <w:rPr>
          <w:rFonts w:ascii="Times New Roman" w:cs="Times New Roman" w:eastAsia="Times New Roman" w:hAnsi="Times New Roman"/>
          <w:sz w:val="24"/>
          <w:szCs w:val="24"/>
          <w:vertAlign w:val="superscript"/>
        </w:rPr>
        <w:t xml:space="preserve">2–9,11–12,15–47</w:t>
      </w:r>
      <w:r>
        <w:rPr>
          <w:rFonts w:ascii="Times New Roman" w:cs="Times New Roman" w:eastAsia="Times New Roman" w:hAnsi="Times New Roman"/>
          <w:sz w:val="24"/>
          <w:szCs w:val="24"/>
        </w:rPr>
        <w:t xml:space="preserve"> and entered the analysis, while 5 were eligible but their rate table could not be obtained and each overlapped a study already represented; the remaining 114 informed the narrative synthesis (162 = 43 + 5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78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4):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together with the 5 quantitatively eligible but non-extractable studies,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62 of 78 cell representatives unchanged, with the 3 changed and 13 dropped cells concentrated in the disaggregated AANHPI subgroups; restricting to directly reported estimates left 40 unchanged (5 changed, 33 dropped); and restricting to NHW-comparator estimates left 56 unchanged (1 changed, 21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conceal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4).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26</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10,33,37,40</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4), so which group ranks highest depends on the tumor being counted.</w:t>
      </w:r>
    </w:p>
    <w:p>
      <w:pPr>
        <w:spacing w:after="160" w:line="360"/>
      </w:pPr>
      <w:r>
        <w:rPr>
          <w:rFonts w:ascii="Times New Roman" w:cs="Times New Roman" w:eastAsia="Times New Roman" w:hAnsi="Times New Roman"/>
          <w:sz w:val="24"/>
          <w:szCs w:val="24"/>
        </w:rPr>
        <w:t xml:space="preserve">Two features of the underlying data shaped these estimates and are part of what the synthesis contributes.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10,40</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 removed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2,28</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Because many estimates come from overlapping or nested registry populations, they are not statistically independent and were not combined into a pooled summary.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Registry overlap and the undercounting of AI/AN populations in unlinked registries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Disaggregated Asian American / Native Hawaiian and Pacific Islander subgroups versus the aggregate (IRR vs non-Hispanic White)</w:t>
      </w:r>
    </w:p>
    <w:p>
      <w:r>
        <w:drawing>
          <wp:inline distT="0" distB="0" distL="0" distR="0">
            <wp:extent cx="6858000" cy="466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858000" cy="46672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Aggregate racial and ethnic groups, Hispanic origin, American Indian / Alaska Native region, and Middle Eastern populations (IRR vs non-Hispanic White)</w:t>
      </w:r>
    </w:p>
    <w:p>
      <w:r>
        <w:drawing>
          <wp:inline distT="0" distB="0" distL="0" distR="0">
            <wp:extent cx="68580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858000" cy="44767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4.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f77f6d47de82a59d2f1eb1b3d5a5bf5c7308b00.png"/><Relationship Id="rId8" Type="http://schemas.openxmlformats.org/officeDocument/2006/relationships/image" Target="media/bbdde1625412dd15da5c42232300aef7a4bbcb4a.png"/><Relationship Id="rId9" Type="http://schemas.openxmlformats.org/officeDocument/2006/relationships/image" Target="media/22c8f44294f66d0007d66670c6f72e9ad980ad14.png"/><Relationship Id="rId10" Type="http://schemas.openxmlformats.org/officeDocument/2006/relationships/image" Target="media/b983c35637ca208496018d64a3b19919f045d9a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2026-08-30T03:44:14.716Z</dcterms:created>
  <dcterms:modified xsi:type="dcterms:W3CDTF">2026-08-30T03:44:14.716Z</dcterms:modified>
</cp:coreProperties>
</file>

<file path=docProps/custom.xml><?xml version="1.0" encoding="utf-8"?>
<Properties xmlns="http://schemas.openxmlformats.org/officeDocument/2006/custom-properties" xmlns:vt="http://schemas.openxmlformats.org/officeDocument/2006/docPropsVTypes"/>
</file>