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and Meta-Analysis</w:t>
      </w:r>
    </w:p>
    <w:p>
      <w:pPr>
        <w:pStyle w:val="Heading1"/>
        <w:spacing w:after="100" w:before="200"/>
      </w:pPr>
      <w:r>
        <w:rPr>
          <w:rFonts w:ascii="Malgun Gothic" w:cs="Malgun Gothic" w:eastAsia="Malgun Gothic" w:hAnsi="Malgun Gothic"/>
          <w:b/>
          <w:bCs/>
          <w:sz w:val="24"/>
          <w:szCs w:val="24"/>
        </w:rPr>
        <w:t xml:space="preserve">Abbreviations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829"/>
        <w:gridCol w:w="11571"/>
      </w:tblGrid>
      <w:tr>
        <w:trPr>
          <w:tblHeader/>
        </w:trPr>
        <w:tc>
          <w:tcPr>
            <w:tcW w:type="dxa" w:w="282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Abbreviation</w:t>
            </w:r>
          </w:p>
        </w:tc>
        <w:tc>
          <w:tcPr>
            <w:tcW w:type="dxa" w:w="1157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Definition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confidence interval</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DL</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DerSimonian-Laird (random-effects τ² estimator)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GRADE</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Grading of Recommendations, Assessment, Development and Evaluations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HER2</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human epidermal growth factor receptor 2</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HKSJ</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Hartung-Knapp-Sidik-Jonkman (confidence-interval method)</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hormone receptor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I²</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I-squared (proportion of variation due to between-study heterogeneity)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Indian Health Service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MENA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and North African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American Association of Central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Newcastle-Ottawa Scale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National Program of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Paule-Mandel (random-effects τ² estimator, REML-equivalent)</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PRCDA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Purchased/Referred Care Delivery Area (IHS)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PRISMA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Preferred Reporting Items for Systematic Reviews and Meta-Analyses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Q</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Cochran's Q (heterogeneity test statistic)</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REML</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restricted maximum likelihood</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Surveillance, Epidemiology, and End Results Program</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standardized incidence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United States Cancer Statistics (NPCR + SEER)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τ²</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tau-squared (between-study variance)</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1. Final search strategy for each database</w:t>
      </w:r>
    </w:p>
    <w:p>
      <w:pPr>
        <w:spacing w:after="80"/>
      </w:pPr>
      <w:r>
        <w:rPr>
          <w:rFonts w:ascii="Malgun Gothic" w:cs="Malgun Gothic" w:eastAsia="Malgun Gothic" w:hAnsi="Malgun Gothic"/>
          <w:i/>
          <w:iCs/>
          <w:sz w:val="18"/>
          <w:szCs w:val="18"/>
        </w:rPr>
        <w:t xml:space="preserve">Search conducted 7 August 2026. Concept blocks combined with AND: breast cancer × race/ethnicity × incidence/age-adjusted rate × United States. Limits: 2000–2026, English, human; document-type exclusions.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Total records identified 9,099; duplicate records removed (cross-database) 4,306; unique records screened 4,793.</w:t>
      </w:r>
    </w:p>
    <w:p>
      <w:r>
        <w:br w:type="page"/>
      </w:r>
    </w:p>
    <w:p>
      <w:pPr>
        <w:pStyle w:val="Heading1"/>
        <w:spacing w:after="100" w:before="200"/>
      </w:pPr>
      <w:r>
        <w:rPr>
          <w:rFonts w:ascii="Malgun Gothic" w:cs="Malgun Gothic" w:eastAsia="Malgun Gothic" w:hAnsi="Malgun Gothic"/>
          <w:b/>
          <w:bCs/>
          <w:sz w:val="24"/>
          <w:szCs w:val="24"/>
        </w:rPr>
        <w:t xml:space="preserve">Supplementary Table 2. Characteristics of included studies (n = 163)</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6346"/>
        <w:gridCol w:w="3295"/>
        <w:gridCol w:w="3173"/>
        <w:gridCol w:w="1586"/>
      </w:tblGrid>
      <w:tr>
        <w:trPr>
          <w:tblHeader/>
        </w:trPr>
        <w:tc>
          <w:tcPr>
            <w:tcW w:type="dxa" w:w="634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329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31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Groups vs NHW</w:t>
            </w:r>
          </w:p>
        </w:tc>
        <w:tc>
          <w:tcPr>
            <w:tcW w:type="dxa" w:w="158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Synthesis</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(Giaquinto et al.,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(Howlader et al., 2014)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white/black/AANHPI/Hispanic subtypes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(Davis Lynn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Black vs NHW (+Ghana non-US)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(Miller et al.,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(Zhang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reference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(Lee Argov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(65+)</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(Joslyn et al.,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each race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(Henley et al., 2014)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(Nash et al.,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(Davis Lynn et al.,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(Li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(Mills et al.,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NHW/AANHPI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(Nash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(Satagopan et al.,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(Hendrick et al.,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NH-White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(Ghafoor et al.,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(Abe et al.,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by generation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(Johnson,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 vs white (30-39)</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(Zahnd et al.,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(Liu et al.,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 incl Filipina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(Badowski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Chamorro/Filipino Guam/Hawaii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(Clarke et al.,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(Zahrieh et al.,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(Roen et al., 2014)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(Acheampong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(Wingo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by IHS region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(Davis Lynn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(Bartley et al.,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by region (no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(Deapen et al.,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ethnic 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(Lepeak et al.,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(Xu et al.,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HR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(Gomez et al.,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Asian American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(Sung et al.,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White by state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(Kaur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(age 50-84)</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(Loo et al.,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White/Japanese/Native Hawaiian/Filipino/Chinese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(Yost et al., 2001)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NHW/black/Hispanic/Asian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(Ellington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race/ethnicity/age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(DeSantis et al.,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 young-onset</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(Cronin et al.,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(Smigal et al.,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(Knowlton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Chinese/S.Asian/Vietnamese (ref=All Asians)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(Baquet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(Gleason et al.,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 ER/PR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(Brinton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white/black/Hispanic/AANHPI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(DeSantis et al.,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ER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(Liu et al.,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NHOPI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(Zhang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NHB/NHW/Hispanic/AANHPI/AI/AN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(Du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NHW/NHB/AANHPI/Hispanic/AI/AN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(Michaels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 (TNBC/LumA)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(Gomez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AANHPI ethnicities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(Gomez et al.,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 nativity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(Paltoo et al., 2004)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(Yin et al.,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NHW/Black/Hispanic/AANHPI by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(Chlebowski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(50+)</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(Il'yasova et al.,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African-American/White/etc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(Anderson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(Swan et al.,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overall SEER/white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(Abubakar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CI5</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Japanese/White/Black (+native Japan/Korea)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(Kong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(Hausauer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AANHPI/Hispanic/AA vs White (50+)</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(Lewis et al.,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(Fong et al.,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White/AANHPI/Black continental + Hawaii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(Gomez et al.,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 ethnic 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(Keegan et al.,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nativity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(Matsuno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White/Black (+Osaka Japan)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(Day et al.,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(Richardson et al.,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(Polednak,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women by geography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(Krieger et al.,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(Shoemaker et al.,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(Hung et al.,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younger vs older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(Lund et al.,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age/race + triple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(Chu et al.,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racial/ethnic groups + ER/PR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(Samson et al.,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(SC)</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European American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(Hou et al.,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NHW/NHB/AANHPI/Hispanic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(Amirikia et al.,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 + TNBC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(Bunte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women by region (no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(Quinn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(Truong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by enclave/nSES (not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(Mzizi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(Li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NHW/black/AI/AN/AANHPI + histology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(Krieger et al.,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(Cunningham et al.,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 + Ohio state registries (non-SEER)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ER/Grade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(Liu et al.,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ethnic groups (18-39)</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(Watanabe-Galloway et al., 2015)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(Keegan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(Sherr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strata (comparator=poverty)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(Tarone et al.,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male (ER/PR)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(Chanpura,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White (policy/cohort)</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(Sighoko et al., 2015)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Caucasian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(Harper et al.,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area-SES (50+)</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(Gopalani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(Movsisyan Vernon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(comparator=PPA/non-PPA)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(Torre et al.,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(Purrington et al.,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(Ihenacho et al.,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(Williams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(Hernandez et al.,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vs Hawaii (not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(Nasseri,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(Crabbe et al., 2015)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non-White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(Hall et al.,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urbanization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(Kehm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region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(Wingo et al., 2004)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(unclear)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(Gopalani et al.,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USAPI vs US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(Oh et al.,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rurality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(Goggins et al.,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(Akinyemiju et al.,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race/gender/region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(Mohamed et al.,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Somali vs non-Somali/SEER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(Miller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(Wang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(Lawrence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Black vs NH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(Islami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(Siegel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(Yazzie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Navajo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(Streicher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Okinawan vs mainland Japanese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(Tierney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(grouped cancers)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(Parada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HCHS/SOL + state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heritage groups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(Gupta et al.,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(Semprini et al.,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(comparator=rurality)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(Xie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White by state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(Melkonian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 AI/AN vs urban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(Tuan et al.,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API</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ethnicities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(Sung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MEN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(Nash et al.,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cohort (risk factors)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(Thomas et al.,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(20-49)</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(Melkonian et al.,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(Oyenuga et al.,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AANHPI/NHW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(Lu et al.,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(Katanoda et al.,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CI5 + SEER 9/Hawaii</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Japan vs US (White/Black)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(Pinheiro et al.,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Cuban/Mexican/PR vs NHW/NHB</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(Mahoney et al.,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(Seneca) vs general pop</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(Hossain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(Weir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(20-44)</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(Rastogi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US vs US whites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(Kem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vs NHW/Asian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(Nasseri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(Lee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Korean-American vs white/black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(Carozza et al.,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NHW/NHB</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(Jain et al.,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vs NHW/AANHPI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(Maskarinec et al., 2004)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Japanese-in-Hawaii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(Ross et al.,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US-born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(Gomez et al.,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(Eldridge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(TNBC)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(Melkonian et al.,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(Tran et al.,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(Hirko et al.,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Arab American vs NHW (IBC)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(Telli et al.,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vs NHW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(Mahoney et al.,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northeastern AI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(Le et al.,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 US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(Melkonian et al.,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NH-AI/AN AYA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(Jin et al.,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(Miller et al.,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(Miller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(Bazzi et al.,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(Krok-Schoen et al.,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(65+)</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(Sherman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(McCracken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5 Asian ethnicities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(Reynolds et al.,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CA-born Asian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(Saka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(Wilkinson et al.,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(Medhanie et al.,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African-born vs US-born 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(Khan et al.,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foreign/US-born Arab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(Ziadeh et al.,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 immigrant generations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 (Avila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(Martínez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(Moss et al.,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(Stapleton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(Johnson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(Liu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(Thaploo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(Morris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(Tarone,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(Calip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(Anderson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(Siegel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(Thompson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(Den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(Sasaki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(Giaquinto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(Cronin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(Henley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(Edwards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(Jemal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(Howe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(Kohler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(Edwards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(DeSantis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(Edwards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(Espey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(Howe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(Ward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(Ries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(Edwards et al.,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(Bunte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(Siegel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(Siegel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(Islami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(Davis Lynn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(Siegel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(Siegel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(Miller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(Siegel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(Siegel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(Desantis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(Desantis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(Anderson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(Jemal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(Jemal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(Jemal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(Negoita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(Gomez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(Jemal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(DeSantis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(Siegel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(Kohler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(Weir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(Siegel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(Eheman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(O'Brien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(Jatoi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(Nazario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(Day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(Pike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(Kelly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(Ho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(Du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(Han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(Foote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4. Registry overlap and representative selection</w:t>
      </w:r>
    </w:p>
    <w:p>
      <w:pPr>
        <w:spacing w:after="80"/>
      </w:pPr>
      <w:r>
        <w:rPr>
          <w:rFonts w:ascii="Malgun Gothic" w:cs="Malgun Gothic" w:eastAsia="Malgun Gothic" w:hAnsi="Malgun Gothic"/>
          <w:i/>
          <w:iCs/>
          <w:sz w:val="18"/>
          <w:szCs w:val="18"/>
        </w:rPr>
        <w:t xml:space="preserve">One representative per registry family per analytic cell for the main analysis; overlapping estimates retained for sensitivity.</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554"/>
        <w:gridCol w:w="1502"/>
        <w:gridCol w:w="1761"/>
        <w:gridCol w:w="1761"/>
        <w:gridCol w:w="1606"/>
        <w:gridCol w:w="1088"/>
        <w:gridCol w:w="1191"/>
        <w:gridCol w:w="1813"/>
        <w:gridCol w:w="2124"/>
      </w:tblGrid>
      <w:tr>
        <w:trPr>
          <w:tblHeader/>
        </w:trPr>
        <w:tc>
          <w:tcPr>
            <w:tcW w:type="dxa" w:w="155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50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176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76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Comparator</w:t>
            </w:r>
          </w:p>
        </w:tc>
        <w:tc>
          <w:tcPr>
            <w:tcW w:type="dxa" w:w="16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08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119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Std pop</w:t>
            </w:r>
          </w:p>
        </w:tc>
        <w:tc>
          <w:tcPr>
            <w:tcW w:type="dxa" w:w="18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12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0.755 [0.677, 0.842]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age-adjusted (SE-reported)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[0.376, 0.673]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0.684 [0.619,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0.817 [0.726, 0.920]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world/2000?</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1.533 [1.352, 1.739]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world/2000?</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(age&lt;40)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0.708 [0.677, 0.739]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0.809 [0.801,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[0.944, 0.971]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 [0.977, 0.989]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0.941 [0.932, 0.949]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(women)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men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 [0.74, 0.751]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0.623 [0.616, 0.630]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 (SIR ref=US White)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(inferred, NHW=155.5)</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1988-2000 / NHW 1995-1999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(inferred, NHW=145.5)</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(inferred, NHW=146.9)</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men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1.52 [1.44, 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men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2.62 [1.48, 4.43]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men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[1.32, 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men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1.65 [1.4, 1.93]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men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2.27 [1.67, 3.03]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nativity</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 (US-born)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foreign-born Chinese</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1.84 [1.72, 1.96]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nativity</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 (US-born)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foreign-born Filipina</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1.32 [1.2, 1.44]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0.739 [0.712, 0.768]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1.48 [1.29, 1.69]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1.39 [1.12, 1.73]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1.004 [0.916, 1.101]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1.35 [1.347, 1.351]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0.640 [0.572, 0.716]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1.817 [1.697, 1.946]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 [1.958, 2.043]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0.824 [0.756, 0.897]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Registries are nested (county ⊂ state ⊂ SEER ⊂ NAACCR ⊂ USCS), so overlapping estimates for the same analytic cell are not independent. For each cell (outcome dimension × group) one representative was kept per registry family, selected by (i) an IRR being computable, (ii) coverage (USCS &gt; NAACCR &gt; SEER-national &gt; state/regional), (iii) most recent end-year then longest span, and (iv) clearest standardization / directly-reported CI.</w:t>
      </w:r>
    </w:p>
    <w:p>
      <w:pPr>
        <w:spacing w:after="80"/>
      </w:pPr>
      <w:r>
        <w:rPr>
          <w:rFonts w:ascii="Malgun Gothic" w:cs="Malgun Gothic" w:eastAsia="Malgun Gothic" w:hAnsi="Malgun Gothic"/>
          <w:i/>
          <w:iCs/>
          <w:sz w:val="18"/>
          <w:szCs w:val="18"/>
        </w:rPr>
        <w:t xml:space="preserve">Main analysis: “yes (representative)” = the estimate carried into the main analysis; “no (overlaps representative)” = collapses to the cell representative and is used only in the all-included sensitivity analysis; “no (AI/AN undercount)” = an unlinked national-registry AI/AN estimate demoted in favour of the IHS-linked representative; “no (registry-direct anchor)” = the SEER-Explorer reference value, not a screened study.</w:t>
      </w:r>
    </w:p>
    <w:p>
      <w:pPr>
        <w:spacing w:after="80"/>
      </w:pPr>
      <w:r>
        <w:rPr>
          <w:rFonts w:ascii="Malgun Gothic" w:cs="Malgun Gothic" w:eastAsia="Malgun Gothic" w:hAnsi="Malgun Gothic"/>
          <w:i/>
          <w:iCs/>
          <w:sz w:val="18"/>
          <w:szCs w:val="18"/>
        </w:rPr>
        <w:t xml:space="preserve">Comparator: the reference group is shown as each source defined it. Studies that stratified the reference by Hispanic origin are shown as non-Hispanic White (NHW); a minority of (mostly older) studies used an unstratified White reference, shown as “White (not NH-stratified)” rather than relabelled as NHW. All comparisons are within a single U.S. registry frame, so the reference rate and the minority rate come from the same source, period, and standard population — the incidence rate ratio is therefore internally valid even where the reference is unstratified White. A sensitivity analysis restricted to NHW-comparator estimates is reported in Supplementary Table 9c.</w:t>
      </w:r>
    </w:p>
    <w:p>
      <w:pPr>
        <w:spacing w:after="80"/>
      </w:pPr>
      <w:r>
        <w:rPr>
          <w:rFonts w:ascii="Malgun Gothic" w:cs="Malgun Gothic" w:eastAsia="Malgun Gothic" w:hAnsi="Malgun Gothic"/>
          <w:i/>
          <w:iCs/>
          <w:sz w:val="18"/>
          <w:szCs w:val="18"/>
        </w:rPr>
        <w:t xml:space="preserve">Standard population: age-standardization is to the 2000 U.S. standard unless the “Std pop” column shows otherwise (Davis Lynn 2025, Segi world, in two Black-subtype cells; a few sensitivity-only estimates on the 1970 world or other standards). Because the rate ratio is formed within each study, the standard population largely cancels; the few non-2000 estimates are flagged here and examined in the heterogeneity table.</w:t>
      </w:r>
    </w:p>
    <w:p>
      <w:r>
        <w:br w:type="page"/>
      </w:r>
    </w:p>
    <w:p>
      <w:pPr>
        <w:pStyle w:val="Heading1"/>
        <w:spacing w:after="100" w:before="200"/>
      </w:pPr>
      <w:r>
        <w:rPr>
          <w:rFonts w:ascii="Malgun Gothic" w:cs="Malgun Gothic" w:eastAsia="Malgun Gothic" w:hAnsi="Malgun Gothic"/>
          <w:b/>
          <w:bCs/>
          <w:sz w:val="24"/>
          <w:szCs w:val="24"/>
        </w:rPr>
        <w:t xml:space="preserve">Supplementary Table 5. Risk of bias (Newcastle-Ottawa Scale, adapted)</w:t>
      </w:r>
    </w:p>
    <w:p>
      <w:pPr>
        <w:spacing w:after="80"/>
      </w:pPr>
      <w:r>
        <w:rPr>
          <w:rFonts w:ascii="Malgun Gothic" w:cs="Malgun Gothic" w:eastAsia="Malgun Gothic" w:hAnsi="Malgun Gothic"/>
          <w:i/>
          <w:iCs/>
          <w:sz w:val="18"/>
          <w:szCs w:val="18"/>
        </w:rPr>
        <w:t xml:space="preserve">Each cell shows 1 where the item was met (blank = not met). Selection (max 4): S1–S4; Comparability (max 2): C1–C2; Outcome (max 3): O1–O3. AI-generated first pass; reviewer to spot-check.</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320"/>
        <w:gridCol w:w="840"/>
        <w:gridCol w:w="840"/>
        <w:gridCol w:w="840"/>
        <w:gridCol w:w="840"/>
        <w:gridCol w:w="840"/>
        <w:gridCol w:w="840"/>
        <w:gridCol w:w="840"/>
        <w:gridCol w:w="840"/>
        <w:gridCol w:w="840"/>
        <w:gridCol w:w="2520"/>
      </w:tblGrid>
      <w:tr>
        <w:trPr>
          <w:tblHeader/>
        </w:trPr>
        <w:tc>
          <w:tcPr>
            <w:tcW w:type="dxa" w:w="4320"/>
            <w:vMerge w:val="restart"/>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Study</w:t>
            </w:r>
          </w:p>
        </w:tc>
        <w:tc>
          <w:tcPr>
            <w:tcW w:type="dxa" w:w="3360"/>
            <w:gridSpan w:val="4"/>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Selection</w:t>
            </w:r>
          </w:p>
        </w:tc>
        <w:tc>
          <w:tcPr>
            <w:tcW w:type="dxa" w:w="1680"/>
            <w:gridSpan w:val="2"/>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Comparability</w:t>
            </w:r>
          </w:p>
        </w:tc>
        <w:tc>
          <w:tcPr>
            <w:tcW w:type="dxa" w:w="2520"/>
            <w:gridSpan w:val="3"/>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Outcome</w:t>
            </w:r>
          </w:p>
        </w:tc>
        <w:tc>
          <w:tcPr>
            <w:tcW w:type="dxa" w:w="2520"/>
            <w:vMerge w:val="restart"/>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Quality</w:t>
            </w:r>
          </w:p>
        </w:tc>
      </w:tr>
      <w:tr>
        <w:trPr>
          <w:tblHeader/>
        </w:trPr>
        <w:tc>
          <w:tcPr>
            <w:vMerge w:val="continue"/>
          </w:tcP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S1</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S2</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S3</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S4</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C1</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C2</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O1</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O2</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O3</w:t>
            </w:r>
          </w:p>
        </w:tc>
        <w:tc>
          <w:tcPr>
            <w:vMerge w:val="continue"/>
          </w:tcP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Howlader 2014</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Davis Lynn 2025</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Zhang 2025</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Nash 2019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Mills 2005</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Nash 2022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Hendrick 2021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Liu 2012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Zahrieh 2021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Xu 2024</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Sung 2023</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Loo 2019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Ellington 2022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Cronin 2012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Baquet 2008</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Gleason 2012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Brinton 2008</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Gomez 2026</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Gomez 2010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Anderson 2008</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Kong 2020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Gomez 2017</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Keegan 2010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Richardson 2016</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Lund 2010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Keegan 2007</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Harper 2009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Gopalani 2020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Ihenacho 2023</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Nasseri 2009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Goggins 2009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Yazzie 2025</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Xie 2022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Sung 2020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Melkonian 2019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Pinheiro 2009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Kem 2007</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Carozza 2006</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Gomez 2003</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Melkonian 2021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Miller 2008</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McCracken 2007</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Wilkinson 2002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bl>
    <w:p>
      <w:pPr>
        <w:spacing w:after="80"/>
      </w:pPr>
    </w:p>
    <w:p>
      <w:pPr>
        <w:spacing w:after="80"/>
      </w:pPr>
      <w:r>
        <w:rPr>
          <w:rFonts w:ascii="Malgun Gothic" w:cs="Malgun Gothic" w:eastAsia="Malgun Gothic" w:hAnsi="Malgun Gothic"/>
          <w:i/>
          <w:iCs/>
          <w:sz w:val="18"/>
          <w:szCs w:val="18"/>
        </w:rPr>
        <w:t xml:space="preserve">Sel = Selection (max 4 stars): (1) representativeness — defined population-based registry; (2) sample size — adequate case count for a stable age-adjusted rate (national/multi-registry or ≥50 cases); (3) ascertainment of race/ethnicity — standard registry coding or IHS/tribal linkage (surname-based or national AI/AN undercount loses the star); (4) case ascertainment completeness (high-completeness registry).</w:t>
      </w:r>
    </w:p>
    <w:p>
      <w:pPr>
        <w:spacing w:after="80"/>
      </w:pPr>
      <w:r>
        <w:rPr>
          <w:rFonts w:ascii="Malgun Gothic" w:cs="Malgun Gothic" w:eastAsia="Malgun Gothic" w:hAnsi="Malgun Gothic"/>
          <w:i/>
          <w:iCs/>
          <w:sz w:val="18"/>
          <w:szCs w:val="18"/>
        </w:rPr>
        <w:t xml:space="preserve">Comp = Comparability (max 2 stars): (1) age-standardization to a stated standard population (e.g., 2000 US); (2) minority and non-Hispanic White comparator from the same standard, diagnosis period and registry (externally-paired comparator loses the star).</w:t>
      </w:r>
    </w:p>
    <w:p>
      <w:pPr>
        <w:spacing w:after="80"/>
      </w:pPr>
      <w:r>
        <w:rPr>
          <w:rFonts w:ascii="Malgun Gothic" w:cs="Malgun Gothic" w:eastAsia="Malgun Gothic" w:hAnsi="Malgun Gothic"/>
          <w:i/>
          <w:iCs/>
          <w:sz w:val="18"/>
          <w:szCs w:val="18"/>
        </w:rPr>
        <w:t xml:space="preserve">Out = Outcome (max 3 stars): (1) outcome assessment — invasive breast cancer via registry/pathology record linkage; (2) statistical reporting — 95% CI or SE reported; (3) appropriate analysis — age-adjusted IRR directly reported or correctly computed with a variance (point-only computation loses the star).</w:t>
      </w:r>
    </w:p>
    <w:p>
      <w:pPr>
        <w:spacing w:after="80"/>
      </w:pPr>
      <w:r>
        <w:rPr>
          <w:rFonts w:ascii="Malgun Gothic" w:cs="Malgun Gothic" w:eastAsia="Malgun Gothic" w:hAnsi="Malgun Gothic"/>
          <w:i/>
          <w:iCs/>
          <w:sz w:val="18"/>
          <w:szCs w:val="18"/>
        </w:rPr>
        <w:t xml:space="preserve">Overall quality (AHRQ thresholds): Good = Selection 3–4 AND Comparability 1–2 AND Outcome 2–3; Fair = Selection 2 AND Comparability 1–2 AND Outcome 2–3; Poor = Selection 0–1 OR Comparability 0 OR Outcome 0–1. The 8 Poor ratings arise where only a point estimate without a confidence interval was available (Outcome = 1). Assessment is an AI-generated first pass for reviewer verification.</w:t>
      </w:r>
    </w:p>
    <w:p>
      <w:r>
        <w:br w:type="page"/>
      </w:r>
    </w:p>
    <w:p>
      <w:pPr>
        <w:pStyle w:val="Heading1"/>
        <w:spacing w:after="100" w:before="200"/>
      </w:pPr>
      <w:r>
        <w:rPr>
          <w:rFonts w:ascii="Malgun Gothic" w:cs="Malgun Gothic" w:eastAsia="Malgun Gothic" w:hAnsi="Malgun Gothic"/>
          <w:b/>
          <w:bCs/>
          <w:sz w:val="24"/>
          <w:szCs w:val="24"/>
        </w:rPr>
        <w:t xml:space="preserve">Supplementary Table 6. Certainty of evidence assessment using a GRADE-informed scoring framework</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000"/>
        <w:gridCol w:w="11400"/>
      </w:tblGrid>
      <w:tr>
        <w:trPr>
          <w:tblHeader/>
        </w:trPr>
        <w:tc>
          <w:tcPr>
            <w:tcW w:type="dxa" w:w="3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Criteria</w:t>
            </w:r>
          </w:p>
        </w:tc>
        <w:tc>
          <w:tcPr>
            <w:tcW w:type="dxa" w:w="114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Descriptions</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Baseline certainty</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All outcomes are bodies of observational, population-based cancer-registry evidence and therefore start at Low (baseline score = 0).</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Based on the adapted Newcastle-Ottawa Scale (Table 5). Downgraded by −1 when the representative study for the outcome was rated Poor.</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Inconsistency</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Downgraded by −1 when overlapping estimates for the same cell disagreed in the direction of effect. The very high I² among overlapping registry estimates was NOT treated as inconsistency, because it reflects repeated inclusion of non-independent, nested registry data rather than genuine between-study heterogeneity.</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Indirectness</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Downgraded by −1 when the population, exposure, comparator, or outcome did not directly correspond to the review question. Judged not serious: U.S. population-based registries directly measure age-adjusted invasive breast-cancer incidence by race/ethnicity versus non-Hispanic White.</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Imprecision</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Downgraded by −1 when the 95% confidence interval included the null (IRR = 1.0) for a near-null estimate, or when only a point estimate without a confidence interval was available.</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Publication bias</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Judged not serious: registry data reflect near-complete (census-like) case ascertainment and are not subject to selective publication of significant results; funnel-plot / Egger assessment is not applicable.</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Strength of association</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Upgraded for a large magnitude of effect: +1 when IRR ≤ 0.50 or ≥ 2.00; +2 when IRR ≤ 0.20 or ≥ 5.00, provided residual bias is unlikely to account for it.</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Dose–response / confounding</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applied: these descriptive incidence studies do not assess an exposure gradient, and residual-confounding upgrades were not used.</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Scoring rules</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Final certainty from the Low baseline: High (total score ≥ 2), Moderate (1), Low (0), Very low (≤ −1). Per-outcome scores are given in Table 7. Assessment is an AI-generated first pass for reviewer verification.</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7. GRADE certainty of evidence by outcome</w:t>
      </w:r>
    </w:p>
    <w:p>
      <w:pPr>
        <w:spacing w:after="80"/>
      </w:pPr>
      <w:r>
        <w:rPr>
          <w:rFonts w:ascii="Malgun Gothic" w:cs="Malgun Gothic" w:eastAsia="Malgun Gothic" w:hAnsi="Malgun Gothic"/>
          <w:i/>
          <w:iCs/>
          <w:sz w:val="18"/>
          <w:szCs w:val="18"/>
        </w:rPr>
        <w:t xml:space="preserve">Certainty derived with the framework in Table 6. RoB = Newcastle-Ottawa rating of the representative study (Table 5); +Large = large-magnitude upgrade (+1 if IRR ≤ 0.50 or ≥ 2.00; +2 if ≤ 0.20 or ≥ 5.00).</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749"/>
        <w:gridCol w:w="3273"/>
        <w:gridCol w:w="3142"/>
        <w:gridCol w:w="1571"/>
        <w:gridCol w:w="1440"/>
        <w:gridCol w:w="2225"/>
      </w:tblGrid>
      <w:tr>
        <w:trPr>
          <w:tblHeader/>
        </w:trPr>
        <w:tc>
          <w:tcPr>
            <w:tcW w:type="dxa" w:w="274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2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14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157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c>
          <w:tcPr>
            <w:tcW w:type="dxa" w:w="144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+Large</w:t>
            </w:r>
          </w:p>
        </w:tc>
        <w:tc>
          <w:tcPr>
            <w:tcW w:type="dxa" w:w="222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GRADE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(women)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NR</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0.755 [0.677, 0.842]</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[0.376, 0.673]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0.684 [0.619, 0.756]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0.817 [0.726, 0.920]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1.52 [1.44, 1.6]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(age&lt;40)</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2.62 [1.48, 4.43]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[1.32, 1.5]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1.65 [1.4, 1.93]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2.27 [1.67, 3.03]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nativity</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 (US-born)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1.84 [1.72, 1.96]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nativity</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 (US-born)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1.32 [1.2, 1.44]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1.35 [1.347, 1.351]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1.48 [1.29, 1.69]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1.39 [1.12, 1.73]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8. Between-study heterogeneity and estimator comparison</w:t>
      </w:r>
    </w:p>
    <w:p>
      <w:pPr>
        <w:spacing w:after="80"/>
      </w:pPr>
      <w:r>
        <w:rPr>
          <w:rFonts w:ascii="Malgun Gothic" w:cs="Malgun Gothic" w:eastAsia="Malgun Gothic" w:hAnsi="Malgun Gothic"/>
          <w:i/>
          <w:iCs/>
          <w:sz w:val="18"/>
          <w:szCs w:val="18"/>
        </w:rPr>
        <w:t xml:space="preserve">Sensitivity = all overlapping estimates (Paule-Mandel + HKSJ); high I² reflects non-independent registry overlap. Main = one representative per family.</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032"/>
        <w:gridCol w:w="2330"/>
        <w:gridCol w:w="598"/>
        <w:gridCol w:w="1793"/>
        <w:gridCol w:w="2988"/>
        <w:gridCol w:w="896"/>
        <w:gridCol w:w="1016"/>
        <w:gridCol w:w="2749"/>
      </w:tblGrid>
      <w:tr>
        <w:trPr>
          <w:tblHeader/>
        </w:trPr>
        <w:tc>
          <w:tcPr>
            <w:tcW w:type="dxa" w:w="203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33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59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k</w:t>
            </w:r>
          </w:p>
        </w:tc>
        <w:tc>
          <w:tcPr>
            <w:tcW w:type="dxa" w:w="179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Model</w:t>
            </w:r>
          </w:p>
        </w:tc>
        <w:tc>
          <w:tcPr>
            <w:tcW w:type="dxa" w:w="298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Sensitivity IRR (95% CI)</w:t>
            </w:r>
          </w:p>
        </w:tc>
        <w:tc>
          <w:tcPr>
            <w:tcW w:type="dxa" w:w="89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I²</w:t>
            </w:r>
          </w:p>
        </w:tc>
        <w:tc>
          <w:tcPr>
            <w:tcW w:type="dxa" w:w="101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 p</w:t>
            </w:r>
          </w:p>
        </w:tc>
        <w:tc>
          <w:tcPr>
            <w:tcW w:type="dxa" w:w="274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1.021 (0.432-2.412)</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68%</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0.078</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1.337 (0.258-6.919)</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93%</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(1.142-1.226)</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7</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0.695 (0.603-0.802)</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 (0.55-0.57)</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6</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0.798 (0.724-0.878)</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(0.751-0.787)</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9</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(0.936-0.965)</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96%</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(0.92-0.946)</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7</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0.719 (0.675-0.765)</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(0.706-0.73)</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0.766 (0.044-13.475)</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(0.937-0.979)</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0.415 (0.001-210.57)</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(0.654-0.701)</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1.252 (0.95-1.651)</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0.290</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(1.123-1.305)</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1.695 (0.814-3.533)</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96%</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(1.74-1.853)</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0.759 (0.286-2.02)</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(0.805-0.836)</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0.775 (0.176-3.41)</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(0.855-0.885)</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0.798 (0.305-2.091)</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98%</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(0.845-0.875)</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(0.135-3.486)</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(0.765-0.795)</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1.07 (0.539-2.124)</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79%</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0.030</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(1.081-1.161)</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0.794 (0.133-4.731)</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97%</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(0.88-0.941)</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0.712 (0.551-0.92)</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90%</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 (0.68-0.72)</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1.968 (1.815-2.134)</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84%</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 (1.925-1.975)</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0.878 (0.746-1.034)</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89%</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(0.84-0.88)</w:t>
            </w:r>
          </w:p>
        </w:tc>
      </w:tr>
    </w:tbl>
    <w:p>
      <w:pPr>
        <w:spacing w:after="80"/>
      </w:pPr>
    </w:p>
    <w:p>
      <w:pPr>
        <w:spacing w:after="80"/>
      </w:pPr>
      <w:r>
        <w:rPr>
          <w:rFonts w:ascii="Malgun Gothic" w:cs="Malgun Gothic" w:eastAsia="Malgun Gothic" w:hAnsi="Malgun Gothic"/>
          <w:i/>
          <w:iCs/>
          <w:sz w:val="18"/>
          <w:szCs w:val="18"/>
        </w:rPr>
        <w:t xml:space="preserve">k = number of overlapping estimates pooled. Model = random-effects for every cell (Paule-Mandel/REML τ² with a Hartung-Knapp-Sidik-Jonkman confidence interval); no fixed-effect model was used. Sensitivity IRR = all k estimates pooled. I² and Q p = the between-study heterogeneity of the all-included (sensitivity) pool; Q p is the p-value of Cochran's Q (χ² with k−1 df). The very high I² / small Q p here reflect repeated inclusion of non-independent, overlapping registry data rather than genuine between-study heterogeneity — which is why it is NOT treated as inconsistency in the GRADE framework (Table 6) and why the main analysis collapses to one representative per registry family. Main IRR = that single representative, which removes the non-independence. For cells with k &lt; 3 the HKSJ interval (t with k−1 df) is unstable and over-wide, so read the point estimate rather than the interval. Only cells with ≥ 2 overlapping estimates appear here.</w:t>
      </w:r>
    </w:p>
    <w:p>
      <w:pPr>
        <w:spacing w:after="80"/>
      </w:pPr>
      <w:r>
        <w:rPr>
          <w:rFonts w:ascii="Malgun Gothic" w:cs="Malgun Gothic" w:eastAsia="Malgun Gothic" w:hAnsi="Malgun Gothic"/>
          <w:i/>
          <w:iCs/>
          <w:sz w:val="18"/>
          <w:szCs w:val="18"/>
        </w:rPr>
        <w:t xml:space="preserve">Estimator comparison (τ² method and confidence-interval method) for every cell with ≥2 overlapping estimates. Cells marked * have k &lt; 3, where the Hartung-Knapp interval (t with k−1 df) is unstable; read the point estimate.</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618"/>
        <w:gridCol w:w="655"/>
        <w:gridCol w:w="3164"/>
        <w:gridCol w:w="982"/>
        <w:gridCol w:w="3164"/>
        <w:gridCol w:w="982"/>
        <w:gridCol w:w="2073"/>
        <w:gridCol w:w="764"/>
      </w:tblGrid>
      <w:tr>
        <w:trPr>
          <w:tblHeader/>
        </w:trPr>
        <w:tc>
          <w:tcPr>
            <w:tcW w:type="dxa" w:w="261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65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k</w:t>
            </w:r>
          </w:p>
        </w:tc>
        <w:tc>
          <w:tcPr>
            <w:tcW w:type="dxa" w:w="316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DerSimonian-Laird IRR (95% CI)</w:t>
            </w:r>
          </w:p>
        </w:tc>
        <w:tc>
          <w:tcPr>
            <w:tcW w:type="dxa" w:w="98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DL τ²</w:t>
            </w:r>
          </w:p>
        </w:tc>
        <w:tc>
          <w:tcPr>
            <w:tcW w:type="dxa" w:w="316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Paule-Mandel / REML IRR (95% CI)</w:t>
            </w:r>
          </w:p>
        </w:tc>
        <w:tc>
          <w:tcPr>
            <w:tcW w:type="dxa" w:w="98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PM τ²</w:t>
            </w:r>
          </w:p>
        </w:tc>
        <w:tc>
          <w:tcPr>
            <w:tcW w:type="dxa" w:w="20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HKSJ 95% CI</w:t>
            </w:r>
          </w:p>
        </w:tc>
        <w:tc>
          <w:tcPr>
            <w:tcW w:type="dxa" w:w="76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I²</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7</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0.695 (0.614-0.786)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0.0268</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0.695 (0.620-0.779)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0.0229</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0.603-0.802</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6</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0.798 (0.743-0.856)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0.0077</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0.798 (0.741-0.859)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0.0084</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0.724-0.878</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9</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(0.937-0.964)</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0.0004</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(0.938-0.963)</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0.0004</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0.936-0.965</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96%</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7</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0.719 (0.691-0.748)</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0.0028</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0.719 (0.683-0.756)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0.0046</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0.675-0.765</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0.714 (0.645-0.790)</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0.0068</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0.712 (0.634-0.801)</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0.0094</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0.551-0.920</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90%</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1.976 (1.912-2.042)</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0.0008</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1.968 (1.872-2.069)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0.0023</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1.815-2.134</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84%</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0.878 (0.818-0.944)</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0.0034</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0.878 (0.815-0.946)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0.0037</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0.746-1.034</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89%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1.021 (0.894-1.166)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0.0062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1.021 (0.894-1.166)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0.0062</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0.432-2.412</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68%</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1.337 (1.037-1.723)</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0.0314</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1.337 (1.037-1.723)</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0.0314</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0.258-6.919</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93%</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0.766 (0.492-1.192)</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0.1009</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0.766 (0.492-1.192)</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0.1009</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0.044-13.475</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0.415 (0.159-1.086)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0.4783</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0.415 (0.159-1.086)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0.4783</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0.001-210.570</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1.252 (1.200-1.307)</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0.0001</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1.252 (1.200-1.307)</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0.0001</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0.950-1.651</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1.695 (1.514-1.899)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0.0064</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1.695 (1.514-1.899)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0.0064</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0.814-3.533</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96%</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0.759 (0.653-0.883)</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0.0117</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0.759 (0.653-0.883)</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0.0117</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0.286-2.020</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0.775 (0.616-0.974)</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0.0270</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0.775 (0.616-0.974)</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0.0270</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0.176-3.410</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0.798 (0.688-0.926)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0.0113</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0.798 (0.688-0.926)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0.0113</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0.305-2.091</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98%</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(0.535-0.882)</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0.0325</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(0.535-0.882)</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0.0325</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0.135-3.486</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1.070 (0.962-1.189)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0.0047</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1.070 (0.962-1.189)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0.0047</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0.539-2.124</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79%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0.794 (0.603-1.045)</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0.0382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0.794 (0.603-1.045)</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0.0382</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0.133-4.731</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97%</w:t>
            </w:r>
          </w:p>
        </w:tc>
      </w:tr>
    </w:tbl>
    <w:p>
      <w:pPr>
        <w:spacing w:after="80"/>
      </w:pPr>
    </w:p>
    <w:p>
      <w:pPr>
        <w:spacing w:after="80"/>
      </w:pPr>
      <w:r>
        <w:rPr>
          <w:rFonts w:ascii="Malgun Gothic" w:cs="Malgun Gothic" w:eastAsia="Malgun Gothic" w:hAnsi="Malgun Gothic"/>
          <w:i/>
          <w:iCs/>
          <w:sz w:val="18"/>
          <w:szCs w:val="18"/>
        </w:rPr>
        <w:t xml:space="preserve">Across the four cells with ≥3 estimates (non-Hispanic Black, Hispanic, AANHPI, American Indian and Alaska Native), the DerSimonian-Laird and Paule-Mandel/REML pooled IRRs differ by ≤0.001, and the Hartung-Knapp interval is wider than the z-based interval; the pooled estimate is therefore robust to the choice of τ² estimator and interval method. The main analysis nonetheless relies on one representative per registry family rather than these pooled values, because the estimates are not independent.</w:t>
      </w:r>
    </w:p>
    <w:p>
      <w:r>
        <w:br w:type="page"/>
      </w:r>
    </w:p>
    <w:p>
      <w:pPr>
        <w:pStyle w:val="Heading1"/>
        <w:spacing w:after="100" w:before="200"/>
      </w:pPr>
      <w:r>
        <w:rPr>
          <w:rFonts w:ascii="Malgun Gothic" w:cs="Malgun Gothic" w:eastAsia="Malgun Gothic" w:hAnsi="Malgun Gothic"/>
          <w:b/>
          <w:bCs/>
          <w:sz w:val="24"/>
          <w:szCs w:val="24"/>
        </w:rPr>
        <w:t xml:space="preserve">Supplementary Table 9. Sensitivity analyses</w:t>
      </w:r>
    </w:p>
    <w:p>
      <w:pPr>
        <w:spacing w:after="80"/>
      </w:pPr>
      <w:r>
        <w:rPr>
          <w:rFonts w:ascii="Malgun Gothic" w:cs="Malgun Gothic" w:eastAsia="Malgun Gothic" w:hAnsi="Malgun Gothic"/>
          <w:i w:val="false"/>
          <w:iCs w:val="false"/>
          <w:sz w:val="18"/>
          <w:szCs w:val="18"/>
        </w:rPr>
        <w:t xml:space="preserve">Table 9a. Good-RoB-only (Poor studies dropped): 86 of 90 cells unchanged, 0 changed, 4 dropped — all headline results unchanged.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185"/>
        <w:gridCol w:w="3600"/>
        <w:gridCol w:w="2769"/>
        <w:gridCol w:w="2769"/>
        <w:gridCol w:w="2077"/>
      </w:tblGrid>
      <w:tr>
        <w:trPr>
          <w:tblHeader/>
        </w:trPr>
        <w:tc>
          <w:tcPr>
            <w:tcW w:type="dxa" w:w="318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6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w:t>
            </w:r>
          </w:p>
        </w:tc>
        <w:tc>
          <w:tcPr>
            <w:tcW w:type="dxa" w:w="20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9b. Directly-reported-only (computed estimates dropped): 51 unchanged, 5 changed, 34 dropped — most disaggregated/subtype cells rely on computed rates (registries report rates, not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185"/>
        <w:gridCol w:w="3600"/>
        <w:gridCol w:w="2769"/>
        <w:gridCol w:w="2769"/>
        <w:gridCol w:w="2077"/>
      </w:tblGrid>
      <w:tr>
        <w:trPr>
          <w:tblHeader/>
        </w:trPr>
        <w:tc>
          <w:tcPr>
            <w:tcW w:type="dxa" w:w="318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6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w:t>
            </w:r>
          </w:p>
        </w:tc>
        <w:tc>
          <w:tcPr>
            <w:tcW w:type="dxa" w:w="20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val="false"/>
          <w:iCs w:val="false"/>
          <w:sz w:val="18"/>
          <w:szCs w:val="18"/>
        </w:rPr>
        <w:t xml:space="preserve">Table 9c. Non-Hispanic White comparator only (unstratified-White comparators dropped): 62 of 90 cells unchanged, 1 changed, 27 dropped. The aggregate, disaggregated-AANHPI, and Hispanic-origin cells are unchanged because they already use an NHW comparator; the dropped cells are those whose only representative used an unstratified White reference — the receptor-defined subtype set (Loo 2019), male breast cancer (Sung 2020), the ER/PR subtypes (Gleason 2012), and two age-specific Black cells — confirming which findings depend on the unstratified-White comparator.</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185"/>
        <w:gridCol w:w="3600"/>
        <w:gridCol w:w="2769"/>
        <w:gridCol w:w="2769"/>
        <w:gridCol w:w="2077"/>
      </w:tblGrid>
      <w:tr>
        <w:trPr>
          <w:tblHeader/>
        </w:trPr>
        <w:tc>
          <w:tcPr>
            <w:tcW w:type="dxa" w:w="318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6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w:t>
            </w:r>
          </w:p>
        </w:tc>
        <w:tc>
          <w:tcPr>
            <w:tcW w:type="dxa" w:w="20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(age&lt;40)</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(women)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1.52</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2.62</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1.65</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TNBC</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2.27</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nativity</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 (US-born)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1.84</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nativity</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 (US-born)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1.32</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1.35</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iCs/>
          <w:sz w:val="18"/>
          <w:szCs w:val="18"/>
        </w:rPr>
        <w:t xml:space="preserve">Main IRR = representative estimate in the main analysis. Sens IRR = the representative re-selected after applying the sensitivity restriction (Good-RoB-only in Table 9a; author-reported IRR/SIR only in Table 9b; NHW-comparator only in Table 9c). Status: unchanged = same study remains the representative; changed = a different study becomes the representative (its IRR is shown); dropped = no eligible estimate remained for that cell (Sens IRR = “–”). Only changed/dropped cells are listed; all others were unchanged, indicating the main results are robust.</w:t>
      </w:r>
    </w:p>
    <w:p>
      <w:r>
        <w:br w:type="page"/>
      </w:r>
    </w:p>
    <w:p>
      <w:pPr>
        <w:pStyle w:val="Heading1"/>
        <w:spacing w:after="100" w:before="200"/>
      </w:pPr>
      <w:r>
        <w:rPr>
          <w:rFonts w:ascii="Malgun Gothic" w:cs="Malgun Gothic" w:eastAsia="Malgun Gothic" w:hAnsi="Malgun Gothic"/>
          <w:b/>
          <w:bCs/>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(for the Methods / Supplementary). Every estimate in</w:t>
      </w:r>
    </w:p>
    <w:p>
      <w:pPr>
        <w:spacing w:after="80"/>
      </w:pPr>
      <w:r>
        <w:rPr>
          <w:rFonts w:ascii="Malgun Gothic" w:cs="Malgun Gothic" w:eastAsia="Malgun Gothic" w:hAnsi="Malgun Gothic"/>
          <w:i w:val="false"/>
          <w:iCs w:val="false"/>
          <w:sz w:val="18"/>
          <w:szCs w:val="18"/>
        </w:rPr>
        <w:t xml:space="preserve">`breast_extraction.csv` whose IRR was not printed as-is by the study is</w:t>
      </w:r>
    </w:p>
    <w:p>
      <w:pPr>
        <w:spacing w:after="80"/>
      </w:pPr>
      <w:r>
        <w:rPr>
          <w:rFonts w:ascii="Malgun Gothic" w:cs="Malgun Gothic" w:eastAsia="Malgun Gothic" w:hAnsi="Malgun Gothic"/>
          <w:i w:val="false"/>
          <w:iCs w:val="false"/>
          <w:sz w:val="18"/>
          <w:szCs w:val="18"/>
        </w:rPr>
        <w:t xml:space="preserve">listed here with exactly how it was derived, so each is reproducible and</w:t>
      </w:r>
    </w:p>
    <w:p>
      <w:pPr>
        <w:spacing w:after="80"/>
      </w:pPr>
      <w:r>
        <w:rPr>
          <w:rFonts w:ascii="Malgun Gothic" w:cs="Malgun Gothic" w:eastAsia="Malgun Gothic" w:hAnsi="Malgun Gothic"/>
          <w:i w:val="false"/>
          <w:iCs w:val="false"/>
          <w:sz w:val="18"/>
          <w:szCs w:val="18"/>
        </w:rPr>
        <w:t xml:space="preserve">auditable. Rows whose `provenance` is `directly-reported-IRR` / `-SIR` are</w:t>
      </w:r>
    </w:p>
    <w:p>
      <w:pPr>
        <w:spacing w:after="80"/>
      </w:pPr>
      <w:r>
        <w:rPr>
          <w:rFonts w:ascii="Malgun Gothic" w:cs="Malgun Gothic" w:eastAsia="Malgun Gothic" w:hAnsi="Malgun Gothic"/>
          <w:i w:val="false"/>
          <w:iCs w:val="false"/>
          <w:sz w:val="18"/>
          <w:szCs w:val="18"/>
        </w:rPr>
        <w:t xml:space="preserve">taken verbatim from the paper and are NOT in this log.</w:t>
      </w:r>
    </w:p>
    <w:p>
      <w:pPr>
        <w:pStyle w:val="Heading2"/>
        <w:spacing w:after="100" w:before="200"/>
      </w:pPr>
      <w:r>
        <w:rPr>
          <w:rFonts w:ascii="Malgun Gothic" w:cs="Malgun Gothic" w:eastAsia="Malgun Gothic" w:hAnsi="Malgun Gothic"/>
          <w:b/>
          <w:bCs/>
          <w:sz w:val="20"/>
          <w:szCs w:val="20"/>
        </w:rPr>
        <w:t xml:space="preserve">1. Age-standardization from age-specific rates</w:t>
      </w:r>
    </w:p>
    <w:p>
      <w:pPr>
        <w:spacing w:after="80"/>
      </w:pPr>
      <w:r>
        <w:rPr>
          <w:rFonts w:ascii="Malgun Gothic" w:cs="Malgun Gothic" w:eastAsia="Malgun Gothic" w:hAnsi="Malgun Gothic"/>
          <w:i w:val="false"/>
          <w:iCs w:val="false"/>
          <w:sz w:val="18"/>
          <w:szCs w:val="18"/>
        </w:rPr>
        <w:t xml:space="preserve">• (Howlader 2014, Suppl Table 3). The supplement reports 5-year</w:t>
      </w:r>
    </w:p>
    <w:p>
      <w:pPr>
        <w:spacing w:after="80"/>
      </w:pPr>
      <w:r>
        <w:rPr>
          <w:rFonts w:ascii="Malgun Gothic" w:cs="Malgun Gothic" w:eastAsia="Malgun Gothic" w:hAnsi="Malgun Gothic"/>
          <w:i w:val="false"/>
          <w:iCs w:val="false"/>
          <w:sz w:val="18"/>
          <w:szCs w:val="18"/>
        </w:rPr>
        <w:t xml:space="preserve">• age-specific incidence rates (ages 20–85+) by race × subtype, not a single</w:t>
      </w:r>
    </w:p>
    <w:p>
      <w:pPr>
        <w:spacing w:after="80"/>
      </w:pPr>
      <w:r>
        <w:rPr>
          <w:rFonts w:ascii="Malgun Gothic" w:cs="Malgun Gothic" w:eastAsia="Malgun Gothic" w:hAnsi="Malgun Gothic"/>
          <w:i w:val="false"/>
          <w:iCs w:val="false"/>
          <w:sz w:val="18"/>
          <w:szCs w:val="18"/>
        </w:rPr>
        <w:t xml:space="preserve">• age-adjusted rate. We age-standardized each race's 14 age-specific rates to</w:t>
      </w:r>
    </w:p>
    <w:p>
      <w:pPr>
        <w:spacing w:after="80"/>
      </w:pPr>
      <w:r>
        <w:rPr>
          <w:rFonts w:ascii="Malgun Gothic" w:cs="Malgun Gothic" w:eastAsia="Malgun Gothic" w:hAnsi="Malgun Gothic"/>
          <w:i w:val="false"/>
          <w:iCs w:val="false"/>
          <w:sz w:val="18"/>
          <w:szCs w:val="18"/>
        </w:rPr>
        <w:t xml:space="preserve">• the 2000 US standard population (Census P25-1130 weights for the 20–85+</w:t>
      </w:r>
    </w:p>
    <w:p>
      <w:pPr>
        <w:spacing w:after="80"/>
      </w:pPr>
      <w:r>
        <w:rPr>
          <w:rFonts w:ascii="Malgun Gothic" w:cs="Malgun Gothic" w:eastAsia="Malgun Gothic" w:hAnsi="Malgun Gothic"/>
          <w:i w:val="false"/>
          <w:iCs w:val="false"/>
          <w:sz w:val="18"/>
          <w:szCs w:val="18"/>
        </w:rPr>
        <w:t xml:space="preserve">• groups): std_rate = Σ(rate_i·w_i)/Σw_i. IRR = minority_std / NHW_std.</w:t>
      </w:r>
    </w:p>
    <w:p>
      <w:pPr>
        <w:spacing w:after="80"/>
      </w:pPr>
      <w:r>
        <w:rPr>
          <w:rFonts w:ascii="Malgun Gothic" w:cs="Malgun Gothic" w:eastAsia="Malgun Gothic" w:hAnsi="Malgun Gothic"/>
          <w:i w:val="false"/>
          <w:iCs w:val="false"/>
          <w:sz w:val="18"/>
          <w:szCs w:val="18"/>
        </w:rPr>
        <w:t xml:space="preserve">• Alignment verified against printed anchors (HR+/HER2− NHW 45–49 = 128.2,</w:t>
      </w:r>
    </w:p>
    <w:p>
      <w:pPr>
        <w:spacing w:after="80"/>
      </w:pPr>
      <w:r>
        <w:rPr>
          <w:rFonts w:ascii="Malgun Gothic" w:cs="Malgun Gothic" w:eastAsia="Malgun Gothic" w:hAnsi="Malgun Gothic"/>
          <w:i w:val="false"/>
          <w:iCs w:val="false"/>
          <w:sz w:val="18"/>
          <w:szCs w:val="18"/>
        </w:rPr>
        <w:t xml:space="preserve">• 75–79 = 342.7; TNBC NHW 35–39 = 9.7).</w:t>
      </w:r>
    </w:p>
    <w:p>
      <w:pPr>
        <w:spacing w:after="80"/>
      </w:pPr>
      <w:r>
        <w:rPr>
          <w:rFonts w:ascii="Malgun Gothic" w:cs="Malgun Gothic" w:eastAsia="Malgun Gothic" w:hAnsi="Malgun Gothic"/>
          <w:i w:val="false"/>
          <w:iCs w:val="false"/>
          <w:sz w:val="18"/>
          <w:szCs w:val="18"/>
        </w:rPr>
        <w:t xml:space="preserve">• 95% CIs computed by variance propagation. Suppl Table 3 reports a 95% CI</w:t>
      </w:r>
    </w:p>
    <w:p>
      <w:pPr>
        <w:spacing w:after="80"/>
      </w:pPr>
      <w:r>
        <w:rPr>
          <w:rFonts w:ascii="Malgun Gothic" w:cs="Malgun Gothic" w:eastAsia="Malgun Gothic" w:hAnsi="Malgun Gothic"/>
          <w:i w:val="false"/>
          <w:iCs w:val="false"/>
          <w:sz w:val="18"/>
          <w:szCs w:val="18"/>
        </w:rPr>
        <w:t xml:space="preserve">• for every age-specific rate (Fig 1 footnote points to it). SE per band =</w:t>
      </w:r>
    </w:p>
    <w:p>
      <w:pPr>
        <w:spacing w:after="80"/>
      </w:pPr>
      <w:r>
        <w:rPr>
          <w:rFonts w:ascii="Malgun Gothic" w:cs="Malgun Gothic" w:eastAsia="Malgun Gothic" w:hAnsi="Malgun Gothic"/>
          <w:i w:val="false"/>
          <w:iCs w:val="false"/>
          <w:sz w:val="18"/>
          <w:szCs w:val="18"/>
        </w:rPr>
        <w:t xml:space="preserve">• (hi−lo)/(2·1.96); Var(std_rate) = Σ(w_i/Σw)²·SE_i²; SE(logIRR) =</w:t>
      </w:r>
    </w:p>
    <w:p>
      <w:pPr>
        <w:spacing w:after="80"/>
      </w:pPr>
      <w:r>
        <w:rPr>
          <w:rFonts w:ascii="Malgun Gothic" w:cs="Malgun Gothic" w:eastAsia="Malgun Gothic" w:hAnsi="Malgun Gothic"/>
          <w:i w:val="false"/>
          <w:iCs w:val="false"/>
          <w:sz w:val="18"/>
          <w:szCs w:val="18"/>
        </w:rPr>
        <w:t xml:space="preserve">• √[(SE_min/std_min)² + (SE_nhw/std_nhw)²]. Provenance =</w:t>
      </w:r>
    </w:p>
    <w:p>
      <w:pPr>
        <w:spacing w:after="80"/>
      </w:pPr>
      <w:r>
        <w:rPr>
          <w:rFonts w:ascii="Malgun Gothic" w:cs="Malgun Gothic" w:eastAsia="Malgun Gothic" w:hAnsi="Malgun Gothic"/>
          <w:i w:val="false"/>
          <w:iCs w:val="false"/>
          <w:sz w:val="18"/>
          <w:szCs w:val="18"/>
        </w:rPr>
        <w:t xml:space="preserve">• `computed-from-rates-with-CI`. (Earlier this cell was carried as point-only;</w:t>
      </w:r>
    </w:p>
    <w:p>
      <w:pPr>
        <w:spacing w:after="80"/>
      </w:pPr>
      <w:r>
        <w:rPr>
          <w:rFonts w:ascii="Malgun Gothic" w:cs="Malgun Gothic" w:eastAsia="Malgun Gothic" w:hAnsi="Malgun Gothic"/>
          <w:i w:val="false"/>
          <w:iCs w:val="false"/>
          <w:sz w:val="18"/>
          <w:szCs w:val="18"/>
        </w:rPr>
        <w:t xml:space="preserve">• the rate CIs in Suppl Table 3 had been overlooked at extraction and are now</w:t>
      </w:r>
    </w:p>
    <w:p>
      <w:pPr>
        <w:spacing w:after="80"/>
      </w:pPr>
      <w:r>
        <w:rPr>
          <w:rFonts w:ascii="Malgun Gothic" w:cs="Malgun Gothic" w:eastAsia="Malgun Gothic" w:hAnsi="Malgun Gothic"/>
          <w:i w:val="false"/>
          <w:iCs w:val="false"/>
          <w:sz w:val="18"/>
          <w:szCs w:val="18"/>
        </w:rPr>
        <w:t xml:space="preserve">• propagated — e.g. TNBC Black 1.82 [1.70, 1.95], HR+/HER2− API 0.69</w:t>
      </w:r>
    </w:p>
    <w:p>
      <w:pPr>
        <w:spacing w:after="80"/>
      </w:pPr>
      <w:r>
        <w:rPr>
          <w:rFonts w:ascii="Malgun Gothic" w:cs="Malgun Gothic" w:eastAsia="Malgun Gothic" w:hAnsi="Malgun Gothic"/>
          <w:i w:val="false"/>
          <w:iCs w:val="false"/>
          <w:sz w:val="18"/>
          <w:szCs w:val="18"/>
        </w:rPr>
        <w:t xml:space="preserve">• [0.66, 0.72].)</w:t>
      </w:r>
    </w:p>
    <w:p>
      <w:pPr>
        <w:spacing w:after="80"/>
      </w:pPr>
      <w:r>
        <w:rPr>
          <w:rFonts w:ascii="Malgun Gothic" w:cs="Malgun Gothic" w:eastAsia="Malgun Gothic" w:hAnsi="Malgun Gothic"/>
          <w:i w:val="false"/>
          <w:iCs w:val="false"/>
          <w:sz w:val="18"/>
          <w:szCs w:val="18"/>
        </w:rPr>
        <w:t xml:space="preserve">• IRR is invariant to the 20+ vs all-age standard (ages 0–19 contribute ≈0 to</w:t>
      </w:r>
    </w:p>
    <w:p>
      <w:pPr>
        <w:spacing w:after="80"/>
      </w:pPr>
      <w:r>
        <w:rPr>
          <w:rFonts w:ascii="Malgun Gothic" w:cs="Malgun Gothic" w:eastAsia="Malgun Gothic" w:hAnsi="Malgun Gothic"/>
          <w:i w:val="false"/>
          <w:iCs w:val="false"/>
          <w:sz w:val="18"/>
          <w:szCs w:val="18"/>
        </w:rPr>
        <w:t xml:space="preserve">• both numerator and denominator).</w:t>
      </w:r>
    </w:p>
    <w:p>
      <w:pPr>
        <w:pStyle w:val="Heading2"/>
        <w:spacing w:after="100" w:before="200"/>
      </w:pPr>
      <w:r>
        <w:rPr>
          <w:rFonts w:ascii="Malgun Gothic" w:cs="Malgun Gothic" w:eastAsia="Malgun Gothic" w:hAnsi="Malgun Gothic"/>
          <w:b/>
          <w:bCs/>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w:t>
      </w:r>
    </w:p>
    <w:p>
      <w:pPr>
        <w:spacing w:after="80"/>
      </w:pPr>
      <w:r>
        <w:rPr>
          <w:rFonts w:ascii="Malgun Gothic" w:cs="Malgun Gothic" w:eastAsia="Malgun Gothic" w:hAnsi="Malgun Gothic"/>
          <w:i w:val="false"/>
          <w:iCs w:val="false"/>
          <w:sz w:val="18"/>
          <w:szCs w:val="18"/>
        </w:rPr>
        <w:t xml:space="preserve">sqrt(SE_min² + SE_nhw²), SE(log rate) = (ln hi − ln lo)/(2·1.96); provenance</w:t>
      </w:r>
    </w:p>
    <w:p>
      <w:pPr>
        <w:spacing w:after="80"/>
      </w:pPr>
      <w:r>
        <w:rPr>
          <w:rFonts w:ascii="Malgun Gothic" w:cs="Malgun Gothic" w:eastAsia="Malgun Gothic" w:hAnsi="Malgun Gothic"/>
          <w:i w:val="false"/>
          <w:iCs w:val="false"/>
          <w:sz w:val="18"/>
          <w:szCs w:val="18"/>
        </w:rPr>
        <w:t xml:space="preserve">`computed-from-rates-with-CI`. Rate without CI → point IRR only; provenance</w:t>
      </w:r>
    </w:p>
    <w:p>
      <w:pPr>
        <w:spacing w:after="80"/>
      </w:pPr>
      <w:r>
        <w:rPr>
          <w:rFonts w:ascii="Malgun Gothic" w:cs="Malgun Gothic" w:eastAsia="Malgun Gothic" w:hAnsi="Malgun Gothic"/>
          <w:i w:val="false"/>
          <w:iCs w:val="false"/>
          <w:sz w:val="18"/>
          <w:szCs w:val="18"/>
        </w:rPr>
        <w:t xml:space="preserve">`computed-from-rates`. Complete lists (auto-generated from the ledger):</w:t>
      </w:r>
    </w:p>
    <w:p>
      <w:pPr>
        <w:spacing w:after="80"/>
      </w:pPr>
      <w:r>
        <w:rPr>
          <w:rFonts w:ascii="Malgun Gothic" w:cs="Malgun Gothic" w:eastAsia="Malgun Gothic" w:hAnsi="Malgun Gothic"/>
          <w:i w:val="false"/>
          <w:iCs w:val="false"/>
          <w:sz w:val="18"/>
          <w:szCs w:val="18"/>
        </w:rPr>
        <w:t xml:space="preserve">• with CI: Howlader 2014, Davis Lynn 2025, Gomez 2026, Ihenacho 2023, Xie 2022, Pinheiro 2009, Gomez 2003, Miller 2008.</w:t>
      </w:r>
    </w:p>
    <w:p>
      <w:pPr>
        <w:spacing w:after="80"/>
      </w:pPr>
      <w:r>
        <w:rPr>
          <w:rFonts w:ascii="Malgun Gothic" w:cs="Malgun Gothic" w:eastAsia="Malgun Gothic" w:hAnsi="Malgun Gothic"/>
          <w:i w:val="false"/>
          <w:iCs w:val="false"/>
          <w:sz w:val="18"/>
          <w:szCs w:val="18"/>
        </w:rPr>
        <w:t xml:space="preserve">• point only (no CI): Liu 2012, Anderson 2008, Keegan 2010, Richardson 2016, Lund 2010,</w:t>
      </w:r>
    </w:p>
    <w:p>
      <w:pPr>
        <w:spacing w:after="80"/>
      </w:pPr>
      <w:r>
        <w:rPr>
          <w:rFonts w:ascii="Malgun Gothic" w:cs="Malgun Gothic" w:eastAsia="Malgun Gothic" w:hAnsi="Malgun Gothic"/>
          <w:i w:val="false"/>
          <w:iCs w:val="false"/>
          <w:sz w:val="18"/>
          <w:szCs w:val="18"/>
        </w:rPr>
        <w:t xml:space="preserve">• Keegan 2007, Harper 2009, Gopalani 2020, McCracken 2007.</w:t>
      </w:r>
    </w:p>
    <w:p>
      <w:pPr>
        <w:spacing w:after="80"/>
      </w:pPr>
      <w:r>
        <w:rPr>
          <w:rFonts w:ascii="Malgun Gothic" w:cs="Malgun Gothic" w:eastAsia="Malgun Gothic" w:hAnsi="Malgun Gothic"/>
          <w:i w:val="false"/>
          <w:iCs w:val="false"/>
          <w:sz w:val="18"/>
          <w:szCs w:val="18"/>
        </w:rPr>
        <w:t xml:space="preserve">• Elaborated elsewhere: (§1), Gomez 2026 &amp; (§4).</w:t>
      </w:r>
    </w:p>
    <w:p>
      <w:pPr>
        <w:spacing w:after="80"/>
      </w:pPr>
      <w:r>
        <w:rPr>
          <w:rFonts w:ascii="Malgun Gothic" w:cs="Malgun Gothic" w:eastAsia="Malgun Gothic" w:hAnsi="Malgun Gothic"/>
          <w:i w:val="false"/>
          <w:iCs w:val="false"/>
          <w:sz w:val="18"/>
          <w:szCs w:val="18"/>
        </w:rPr>
        <w:t xml:space="preserve">• Davis Lynn 2025 rates use the Segi world 1960 standard (ages 20–74), not 2000 US</w:t>
      </w:r>
    </w:p>
    <w:p>
      <w:pPr>
        <w:spacing w:after="80"/>
      </w:pPr>
      <w:r>
        <w:rPr>
          <w:rFonts w:ascii="Malgun Gothic" w:cs="Malgun Gothic" w:eastAsia="Malgun Gothic" w:hAnsi="Malgun Gothic"/>
          <w:i w:val="false"/>
          <w:iCs w:val="false"/>
          <w:sz w:val="18"/>
          <w:szCs w:val="18"/>
        </w:rPr>
        <w:t xml:space="preserve">• — IRR still comparable (ratio), absolute scale differs (flagged in-row).</w:t>
      </w:r>
    </w:p>
    <w:p>
      <w:pPr>
        <w:spacing w:after="80"/>
      </w:pPr>
      <w:r>
        <w:rPr>
          <w:rFonts w:ascii="Malgun Gothic" w:cs="Malgun Gothic" w:eastAsia="Malgun Gothic" w:hAnsi="Malgun Gothic"/>
          <w:i w:val="false"/>
          <w:iCs w:val="false"/>
          <w:sz w:val="18"/>
          <w:szCs w:val="18"/>
        </w:rPr>
        <w:t xml:space="preserve">• Anderson 2008, Richardson 2016 use "White"/"Black" not NH-stratified (Richardson 2016 White incl.</w:t>
      </w:r>
    </w:p>
    <w:p>
      <w:pPr>
        <w:spacing w:after="80"/>
      </w:pPr>
      <w:r>
        <w:rPr>
          <w:rFonts w:ascii="Malgun Gothic" w:cs="Malgun Gothic" w:eastAsia="Malgun Gothic" w:hAnsi="Malgun Gothic"/>
          <w:i w:val="false"/>
          <w:iCs w:val="false"/>
          <w:sz w:val="18"/>
          <w:szCs w:val="18"/>
        </w:rPr>
        <w:t xml:space="preserve">• Hispanic); Anderson 2008 is the crossover from printed age-specific rates, no ratio CI.</w:t>
      </w:r>
    </w:p>
    <w:p>
      <w:pPr>
        <w:spacing w:after="80"/>
      </w:pPr>
      <w:r>
        <w:rPr>
          <w:rFonts w:ascii="Malgun Gothic" w:cs="Malgun Gothic" w:eastAsia="Malgun Gothic" w:hAnsi="Malgun Gothic"/>
          <w:i w:val="false"/>
          <w:iCs w:val="false"/>
          <w:sz w:val="18"/>
          <w:szCs w:val="18"/>
        </w:rPr>
        <w:t xml:space="preserve">• Gopalani 2020 NHW (130.4) is from the same paper (Gopalani 2020), not external.</w:t>
      </w:r>
    </w:p>
    <w:p>
      <w:pPr>
        <w:pStyle w:val="Heading2"/>
        <w:spacing w:after="100" w:before="200"/>
      </w:pPr>
      <w:r>
        <w:rPr>
          <w:rFonts w:ascii="Malgun Gothic" w:cs="Malgun Gothic" w:eastAsia="Malgun Gothic" w:hAnsi="Malgun Gothic"/>
          <w:b/>
          <w:bCs/>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 Brinton 2008, 182. No ratio CI printed but case counts are. SE(logIRR) =</w:t>
      </w:r>
    </w:p>
    <w:p>
      <w:pPr>
        <w:spacing w:after="80"/>
      </w:pPr>
      <w:r>
        <w:rPr>
          <w:rFonts w:ascii="Malgun Gothic" w:cs="Malgun Gothic" w:eastAsia="Malgun Gothic" w:hAnsi="Malgun Gothic"/>
          <w:i w:val="false"/>
          <w:iCs w:val="false"/>
          <w:sz w:val="18"/>
          <w:szCs w:val="18"/>
        </w:rPr>
        <w:t xml:space="preserve">• sqrt(1/D_min + 1/D_nhw) (D = cases); provenance `computed-from-rates-Poisson-SE`.</w:t>
      </w:r>
    </w:p>
    <w:p>
      <w:pPr>
        <w:spacing w:after="80"/>
      </w:pPr>
      <w:r>
        <w:rPr>
          <w:rFonts w:ascii="Malgun Gothic" w:cs="Malgun Gothic" w:eastAsia="Malgun Gothic" w:hAnsi="Malgun Gothic"/>
          <w:i w:val="false"/>
          <w:iCs w:val="false"/>
          <w:sz w:val="18"/>
          <w:szCs w:val="18"/>
        </w:rPr>
        <w:t xml:space="preserve">• (Mills 2005, Hmong-California). Hmong female breast AAIR 23.8 (39</w:t>
      </w:r>
    </w:p>
    <w:p>
      <w:pPr>
        <w:spacing w:after="80"/>
      </w:pPr>
      <w:r>
        <w:rPr>
          <w:rFonts w:ascii="Malgun Gothic" w:cs="Malgun Gothic" w:eastAsia="Malgun Gothic" w:hAnsi="Malgun Gothic"/>
          <w:i w:val="false"/>
          <w:iCs w:val="false"/>
          <w:sz w:val="18"/>
          <w:szCs w:val="18"/>
        </w:rPr>
        <w:t xml:space="preserve">• cases) vs NHW 145.5; only the Hmong case count (39) is available, so SE(logIRR)</w:t>
      </w:r>
    </w:p>
    <w:p>
      <w:pPr>
        <w:spacing w:after="80"/>
      </w:pPr>
      <w:r>
        <w:rPr>
          <w:rFonts w:ascii="Malgun Gothic" w:cs="Malgun Gothic" w:eastAsia="Malgun Gothic" w:hAnsi="Malgun Gothic"/>
          <w:i w:val="false"/>
          <w:iCs w:val="false"/>
          <w:sz w:val="18"/>
          <w:szCs w:val="18"/>
        </w:rPr>
        <w:t xml:space="preserve">• = 1/sqrt(39) = 0.160 with the large NHW denominator treated as fixed</w:t>
      </w:r>
    </w:p>
    <w:p>
      <w:pPr>
        <w:spacing w:after="80"/>
      </w:pPr>
      <w:r>
        <w:rPr>
          <w:rFonts w:ascii="Malgun Gothic" w:cs="Malgun Gothic" w:eastAsia="Malgun Gothic" w:hAnsi="Malgun Gothic"/>
          <w:i w:val="false"/>
          <w:iCs w:val="false"/>
          <w:sz w:val="18"/>
          <w:szCs w:val="18"/>
        </w:rPr>
        <w:t xml:space="preserve">• (1/D_nhw ~ 0). IRR 0.164 (0.120-0.224). Period mismatch (Hmong 1988-2000 vs</w:t>
      </w:r>
    </w:p>
    <w:p>
      <w:pPr>
        <w:spacing w:after="80"/>
      </w:pPr>
      <w:r>
        <w:rPr>
          <w:rFonts w:ascii="Malgun Gothic" w:cs="Malgun Gothic" w:eastAsia="Malgun Gothic" w:hAnsi="Malgun Gothic"/>
          <w:i w:val="false"/>
          <w:iCs w:val="false"/>
          <w:sz w:val="18"/>
          <w:szCs w:val="18"/>
        </w:rPr>
        <w:t xml:space="preserve">• NHW 1995-1999) flagged in-row. Lowest AANHPI subgroup.</w:t>
      </w:r>
    </w:p>
    <w:p>
      <w:pPr>
        <w:spacing w:after="80"/>
      </w:pPr>
      <w:r>
        <w:rPr>
          <w:rFonts w:ascii="Malgun Gothic" w:cs="Malgun Gothic" w:eastAsia="Malgun Gothic" w:hAnsi="Malgun Gothic"/>
          <w:i w:val="false"/>
          <w:iCs w:val="false"/>
          <w:sz w:val="18"/>
          <w:szCs w:val="18"/>
        </w:rPr>
        <w:t xml:space="preserve">• (Kem 2007, Cambodian CA+PugetSound). Author-reported Cambodian/</w:t>
      </w:r>
    </w:p>
    <w:p>
      <w:pPr>
        <w:spacing w:after="80"/>
      </w:pPr>
      <w:r>
        <w:rPr>
          <w:rFonts w:ascii="Malgun Gothic" w:cs="Malgun Gothic" w:eastAsia="Malgun Gothic" w:hAnsi="Malgun Gothic"/>
          <w:i w:val="false"/>
          <w:iCs w:val="false"/>
          <w:sz w:val="18"/>
          <w:szCs w:val="18"/>
        </w:rPr>
        <w:t xml:space="preserve">• White ratio 0.26 (uses the surname-method "high rate" 41.0 / NHW 155.5); the</w:t>
      </w:r>
    </w:p>
    <w:p>
      <w:pPr>
        <w:spacing w:after="80"/>
      </w:pPr>
      <w:r>
        <w:rPr>
          <w:rFonts w:ascii="Malgun Gothic" w:cs="Malgun Gothic" w:eastAsia="Malgun Gothic" w:hAnsi="Malgun Gothic"/>
          <w:i w:val="false"/>
          <w:iCs w:val="false"/>
          <w:sz w:val="18"/>
          <w:szCs w:val="18"/>
        </w:rPr>
        <w:t xml:space="preserve">• high/low rate bracket 34.8-41.0 is an ethnic-identification uncertainty range,</w:t>
      </w:r>
    </w:p>
    <w:p>
      <w:pPr>
        <w:spacing w:after="80"/>
      </w:pPr>
      <w:r>
        <w:rPr>
          <w:rFonts w:ascii="Malgun Gothic" w:cs="Malgun Gothic" w:eastAsia="Malgun Gothic" w:hAnsi="Malgun Gothic"/>
          <w:i w:val="false"/>
          <w:iCs w:val="false"/>
          <w:sz w:val="18"/>
          <w:szCs w:val="18"/>
        </w:rPr>
        <w:t xml:space="preserve">• NOT a 95% CI, so SE(logIRR) = 1/sqrt(58) = 0.131 from the 58 Cambodian cases.</w:t>
      </w:r>
    </w:p>
    <w:p>
      <w:pPr>
        <w:spacing w:after="80"/>
      </w:pPr>
      <w:r>
        <w:rPr>
          <w:rFonts w:ascii="Malgun Gothic" w:cs="Malgun Gothic" w:eastAsia="Malgun Gothic" w:hAnsi="Malgun Gothic"/>
          <w:i w:val="false"/>
          <w:iCs w:val="false"/>
          <w:sz w:val="18"/>
          <w:szCs w:val="18"/>
        </w:rPr>
        <w:t xml:space="preserve">• IRR 0.264 (0.204-0.341).</w:t>
      </w:r>
    </w:p>
    <w:p>
      <w:pPr>
        <w:pStyle w:val="Heading2"/>
        <w:spacing w:after="100" w:before="200"/>
      </w:pPr>
      <w:r>
        <w:rPr>
          <w:rFonts w:ascii="Malgun Gothic" w:cs="Malgun Gothic" w:eastAsia="Malgun Gothic" w:hAnsi="Malgun Gothic"/>
          <w:b/>
          <w:bCs/>
          <w:sz w:val="20"/>
          <w:szCs w:val="20"/>
        </w:rPr>
        <w:t xml:space="preserve">4. External NHW comparator (study reports minority only)</w:t>
      </w:r>
    </w:p>
    <w:p>
      <w:pPr>
        <w:spacing w:after="80"/>
      </w:pPr>
      <w:r>
        <w:rPr>
          <w:rFonts w:ascii="Malgun Gothic" w:cs="Malgun Gothic" w:eastAsia="Malgun Gothic" w:hAnsi="Malgun Gothic"/>
          <w:i w:val="false"/>
          <w:iCs w:val="false"/>
          <w:sz w:val="18"/>
          <w:szCs w:val="18"/>
        </w:rPr>
        <w:t xml:space="preserve">• (Gomez 2026). Disaggregated AANHPI rates are in the main Table</w:t>
      </w:r>
    </w:p>
    <w:p>
      <w:pPr>
        <w:spacing w:after="80"/>
      </w:pPr>
      <w:r>
        <w:rPr>
          <w:rFonts w:ascii="Malgun Gothic" w:cs="Malgun Gothic" w:eastAsia="Malgun Gothic" w:hAnsi="Malgun Gothic"/>
          <w:i w:val="false"/>
          <w:iCs w:val="false"/>
          <w:sz w:val="18"/>
          <w:szCs w:val="18"/>
        </w:rPr>
        <w:t xml:space="preserve">• (2018–2022, SEER-21); the in-paper NHW comparator is eTable 3 (Supplement 1):</w:t>
      </w:r>
    </w:p>
    <w:p>
      <w:pPr>
        <w:spacing w:after="80"/>
      </w:pPr>
      <w:r>
        <w:rPr>
          <w:rFonts w:ascii="Malgun Gothic" w:cs="Malgun Gothic" w:eastAsia="Malgun Gothic" w:hAnsi="Malgun Gothic"/>
          <w:i w:val="false"/>
          <w:iCs w:val="false"/>
          <w:sz w:val="18"/>
          <w:szCs w:val="18"/>
        </w:rPr>
        <w:t xml:space="preserve">• Non-Hispanic White 139.5 (139.0–140.0), same registry (SEER-21), same period</w:t>
      </w:r>
    </w:p>
    <w:p>
      <w:pPr>
        <w:spacing w:after="80"/>
      </w:pPr>
      <w:r>
        <w:rPr>
          <w:rFonts w:ascii="Malgun Gothic" w:cs="Malgun Gothic" w:eastAsia="Malgun Gothic" w:hAnsi="Malgun Gothic"/>
          <w:i w:val="false"/>
          <w:iCs w:val="false"/>
          <w:sz w:val="18"/>
          <w:szCs w:val="18"/>
        </w:rPr>
        <w:t xml:space="preserve">• (2018–2022), same standard (2000 US). IRRs = subgroup rate / 139.5 with 95% CIs</w:t>
      </w:r>
    </w:p>
    <w:p>
      <w:pPr>
        <w:spacing w:after="80"/>
      </w:pPr>
      <w:r>
        <w:rPr>
          <w:rFonts w:ascii="Malgun Gothic" w:cs="Malgun Gothic" w:eastAsia="Malgun Gothic" w:hAnsi="Malgun Gothic"/>
          <w:i w:val="false"/>
          <w:iCs w:val="false"/>
          <w:sz w:val="18"/>
          <w:szCs w:val="18"/>
        </w:rPr>
        <w:t xml:space="preserve">• propagated from both rate CIs. (An earlier pass overlooked eTable 3 and paired an</w:t>
      </w:r>
    </w:p>
    <w:p>
      <w:pPr>
        <w:spacing w:after="80"/>
      </w:pPr>
      <w:r>
        <w:rPr>
          <w:rFonts w:ascii="Malgun Gothic" w:cs="Malgun Gothic" w:eastAsia="Malgun Gothic" w:hAnsi="Malgun Gothic"/>
          <w:i w:val="false"/>
          <w:iCs w:val="false"/>
          <w:sz w:val="18"/>
          <w:szCs w:val="18"/>
        </w:rPr>
        <w:t xml:space="preserve">• external SEER-Explorer NHW of 140.3; using the paper's own NHW is</w:t>
      </w:r>
    </w:p>
    <w:p>
      <w:pPr>
        <w:spacing w:after="80"/>
      </w:pPr>
      <w:r>
        <w:rPr>
          <w:rFonts w:ascii="Malgun Gothic" w:cs="Malgun Gothic" w:eastAsia="Malgun Gothic" w:hAnsi="Malgun Gothic"/>
          <w:i w:val="false"/>
          <w:iCs w:val="false"/>
          <w:sz w:val="18"/>
          <w:szCs w:val="18"/>
        </w:rPr>
        <w:t xml:space="preserve">• registry/period/standard-consistent and shifts IRRs by &lt;1%.)</w:t>
      </w:r>
    </w:p>
    <w:p>
      <w:pPr>
        <w:spacing w:after="80"/>
      </w:pPr>
      <w:r>
        <w:rPr>
          <w:rFonts w:ascii="Malgun Gothic" w:cs="Malgun Gothic" w:eastAsia="Malgun Gothic" w:hAnsi="Malgun Gothic"/>
          <w:i w:val="false"/>
          <w:iCs w:val="false"/>
          <w:sz w:val="18"/>
          <w:szCs w:val="18"/>
        </w:rPr>
        <w:t xml:space="preserve">• (Pinheiro 2009). Table gives origin rates + rounded IR ratios but</w:t>
      </w:r>
    </w:p>
    <w:p>
      <w:pPr>
        <w:spacing w:after="80"/>
      </w:pPr>
      <w:r>
        <w:rPr>
          <w:rFonts w:ascii="Malgun Gothic" w:cs="Malgun Gothic" w:eastAsia="Malgun Gothic" w:hAnsi="Malgun Gothic"/>
          <w:i w:val="false"/>
          <w:iCs w:val="false"/>
          <w:sz w:val="18"/>
          <w:szCs w:val="18"/>
        </w:rPr>
        <w:t xml:space="preserve">• not the NHW-FL rate; NHW-FL ≈ 143 (2000 US std) was back-derived so computed</w:t>
      </w:r>
    </w:p>
    <w:p>
      <w:pPr>
        <w:spacing w:after="80"/>
      </w:pPr>
      <w:r>
        <w:rPr>
          <w:rFonts w:ascii="Malgun Gothic" w:cs="Malgun Gothic" w:eastAsia="Malgun Gothic" w:hAnsi="Malgun Gothic"/>
          <w:i w:val="false"/>
          <w:iCs w:val="false"/>
          <w:sz w:val="18"/>
          <w:szCs w:val="18"/>
        </w:rPr>
        <w:t xml:space="preserve">• IRRs reproduce the authors' rounded ratios (0.8/0.5/0.8/0.7) — flagged to</w:t>
      </w:r>
    </w:p>
    <w:p>
      <w:pPr>
        <w:spacing w:after="80"/>
      </w:pPr>
      <w:r>
        <w:rPr>
          <w:rFonts w:ascii="Malgun Gothic" w:cs="Malgun Gothic" w:eastAsia="Malgun Gothic" w:hAnsi="Malgun Gothic"/>
          <w:i w:val="false"/>
          <w:iCs w:val="false"/>
          <w:sz w:val="18"/>
          <w:szCs w:val="18"/>
        </w:rPr>
        <w:t xml:space="preserve">• refine if the exact NHW is obtained.</w:t>
      </w:r>
    </w:p>
    <w:p>
      <w:pPr>
        <w:spacing w:after="80"/>
      </w:pPr>
      <w:r>
        <w:rPr>
          <w:rFonts w:ascii="Malgun Gothic" w:cs="Malgun Gothic" w:eastAsia="Malgun Gothic" w:hAnsi="Malgun Gothic"/>
          <w:i w:val="false"/>
          <w:iCs w:val="false"/>
          <w:sz w:val="18"/>
          <w:szCs w:val="18"/>
        </w:rPr>
        <w:t xml:space="preserve">• (Nash 2022, Alaska Native). Paper is ANTR-only (Alaska Native</w:t>
      </w:r>
    </w:p>
    <w:p>
      <w:pPr>
        <w:spacing w:after="80"/>
      </w:pPr>
      <w:r>
        <w:rPr>
          <w:rFonts w:ascii="Malgun Gothic" w:cs="Malgun Gothic" w:eastAsia="Malgun Gothic" w:hAnsi="Malgun Gothic"/>
          <w:i w:val="false"/>
          <w:iCs w:val="false"/>
          <w:sz w:val="18"/>
          <w:szCs w:val="18"/>
        </w:rPr>
        <w:t xml:space="preserve">• people), no in-paper NHW. AN female breast 130.8 (116.7-146.0), 2014-2018,</w:t>
      </w:r>
    </w:p>
    <w:p>
      <w:pPr>
        <w:spacing w:after="80"/>
      </w:pPr>
      <w:r>
        <w:rPr>
          <w:rFonts w:ascii="Malgun Gothic" w:cs="Malgun Gothic" w:eastAsia="Malgun Gothic" w:hAnsi="Malgun Gothic"/>
          <w:i w:val="false"/>
          <w:iCs w:val="false"/>
          <w:sz w:val="18"/>
          <w:szCs w:val="18"/>
        </w:rPr>
        <w:t xml:space="preserve">• 2000 US std. Paired with SEER-Explorer NHW observed annual mean for the SAME</w:t>
      </w:r>
    </w:p>
    <w:p>
      <w:pPr>
        <w:spacing w:after="80"/>
      </w:pPr>
      <w:r>
        <w:rPr>
          <w:rFonts w:ascii="Malgun Gothic" w:cs="Malgun Gothic" w:eastAsia="Malgun Gothic" w:hAnsi="Malgun Gothic"/>
          <w:i w:val="false"/>
          <w:iCs w:val="false"/>
          <w:sz w:val="18"/>
          <w:szCs w:val="18"/>
        </w:rPr>
        <w:t xml:space="preserve">• window (2014-2018 = 137.4, 2000 US std). IRR 0.952 (0.851-1.065). NOTE: this</w:t>
      </w:r>
    </w:p>
    <w:p>
      <w:pPr>
        <w:spacing w:after="80"/>
      </w:pPr>
      <w:r>
        <w:rPr>
          <w:rFonts w:ascii="Malgun Gothic" w:cs="Malgun Gothic" w:eastAsia="Malgun Gothic" w:hAnsi="Malgun Gothic"/>
          <w:i w:val="false"/>
          <w:iCs w:val="false"/>
          <w:sz w:val="18"/>
          <w:szCs w:val="18"/>
        </w:rPr>
        <w:t xml:space="preserve">• overlaps (Nash 2019, same ANTR registry, 2009-2014) which reports a</w:t>
      </w:r>
    </w:p>
    <w:p>
      <w:pPr>
        <w:spacing w:after="80"/>
      </w:pPr>
      <w:r>
        <w:rPr>
          <w:rFonts w:ascii="Malgun Gothic" w:cs="Malgun Gothic" w:eastAsia="Malgun Gothic" w:hAnsi="Malgun Gothic"/>
          <w:i w:val="false"/>
          <w:iCs w:val="false"/>
          <w:sz w:val="18"/>
          <w:szCs w:val="18"/>
        </w:rPr>
        <w:t xml:space="preserve">• DIRECTLY-reported IRR 1.09 (0.99-1.21) vs in-paper US White; Nash 2019 is the</w:t>
      </w:r>
    </w:p>
    <w:p>
      <w:pPr>
        <w:spacing w:after="80"/>
      </w:pPr>
      <w:r>
        <w:rPr>
          <w:rFonts w:ascii="Malgun Gothic" w:cs="Malgun Gothic" w:eastAsia="Malgun Gothic" w:hAnsi="Malgun Gothic"/>
          <w:i w:val="false"/>
          <w:iCs w:val="false"/>
          <w:sz w:val="18"/>
          <w:szCs w:val="18"/>
        </w:rPr>
        <w:t xml:space="preserve">• cell representative, Nash 2022 is a sensitivity/overlap estimate (its 0.95 vs</w:t>
      </w:r>
    </w:p>
    <w:p>
      <w:pPr>
        <w:spacing w:after="80"/>
      </w:pPr>
      <w:r>
        <w:rPr>
          <w:rFonts w:ascii="Malgun Gothic" w:cs="Malgun Gothic" w:eastAsia="Malgun Gothic" w:hAnsi="Malgun Gothic"/>
          <w:i w:val="false"/>
          <w:iCs w:val="false"/>
          <w:sz w:val="18"/>
          <w:szCs w:val="18"/>
        </w:rPr>
        <w:t xml:space="preserve">• Nash 2019's 1.09 reflects the different period and the external NHW denominator).</w:t>
      </w:r>
    </w:p>
    <w:p>
      <w:pPr>
        <w:pStyle w:val="Heading2"/>
        <w:spacing w:after="100" w:before="200"/>
      </w:pPr>
      <w:r>
        <w:rPr>
          <w:rFonts w:ascii="Malgun Gothic" w:cs="Malgun Gothic" w:eastAsia="Malgun Gothic" w:hAnsi="Malgun Gothic"/>
          <w:b/>
          <w:bCs/>
          <w:sz w:val="20"/>
          <w:szCs w:val="20"/>
        </w:rPr>
        <w:t xml:space="preserve">4b. IRR CI from reported standard errors of rates</w:t>
      </w:r>
    </w:p>
    <w:p>
      <w:pPr>
        <w:spacing w:after="80"/>
      </w:pPr>
      <w:r>
        <w:rPr>
          <w:rFonts w:ascii="Malgun Gothic" w:cs="Malgun Gothic" w:eastAsia="Malgun Gothic" w:hAnsi="Malgun Gothic"/>
          <w:i w:val="false"/>
          <w:iCs w:val="false"/>
          <w:sz w:val="18"/>
          <w:szCs w:val="18"/>
        </w:rPr>
        <w:t xml:space="preserve">• (Wilkinson 2002, Miami-Dade Hispanic). Table 1 gives invasive</w:t>
      </w:r>
    </w:p>
    <w:p>
      <w:pPr>
        <w:spacing w:after="80"/>
      </w:pPr>
      <w:r>
        <w:rPr>
          <w:rFonts w:ascii="Malgun Gothic" w:cs="Malgun Gothic" w:eastAsia="Malgun Gothic" w:hAnsi="Malgun Gothic"/>
          <w:i w:val="false"/>
          <w:iCs w:val="false"/>
          <w:sz w:val="18"/>
          <w:szCs w:val="18"/>
        </w:rPr>
        <w:t xml:space="preserve">• breast rates with SEs: Hispanic 81.9 (SE 1.2), NHW 125.8 (SE 2.0), 1990-1998.</w:t>
      </w:r>
    </w:p>
    <w:p>
      <w:pPr>
        <w:spacing w:after="80"/>
      </w:pPr>
      <w:r>
        <w:rPr>
          <w:rFonts w:ascii="Malgun Gothic" w:cs="Malgun Gothic" w:eastAsia="Malgun Gothic" w:hAnsi="Malgun Gothic"/>
          <w:i w:val="false"/>
          <w:iCs w:val="false"/>
          <w:sz w:val="18"/>
          <w:szCs w:val="18"/>
        </w:rPr>
        <w:t xml:space="preserve">• IRR = 81.9/125.8 = 0.651; SE(log rate) = SE_rate/rate; SE(logIRR) =</w:t>
      </w:r>
    </w:p>
    <w:p>
      <w:pPr>
        <w:spacing w:after="80"/>
      </w:pPr>
      <w:r>
        <w:rPr>
          <w:rFonts w:ascii="Malgun Gothic" w:cs="Malgun Gothic" w:eastAsia="Malgun Gothic" w:hAnsi="Malgun Gothic"/>
          <w:i w:val="false"/>
          <w:iCs w:val="false"/>
          <w:sz w:val="18"/>
          <w:szCs w:val="18"/>
        </w:rPr>
        <w:t xml:space="preserve">• sqrt((1.2/81.9)^2 + (2.0/125.8)^2) = 0.0216 -&gt; IRR 0.651 (0.624-0.679).</w:t>
      </w:r>
    </w:p>
    <w:p>
      <w:pPr>
        <w:spacing w:after="80"/>
      </w:pPr>
      <w:r>
        <w:rPr>
          <w:rFonts w:ascii="Malgun Gothic" w:cs="Malgun Gothic" w:eastAsia="Malgun Gothic" w:hAnsi="Malgun Gothic"/>
          <w:i w:val="false"/>
          <w:iCs w:val="false"/>
          <w:sz w:val="18"/>
          <w:szCs w:val="18"/>
        </w:rPr>
        <w:t xml:space="preserve">• Regional aggregate Hispanic (Cuban-heavy), collapses with Carozza 2006 aggregate</w:t>
      </w:r>
    </w:p>
    <w:p>
      <w:pPr>
        <w:spacing w:after="80"/>
      </w:pPr>
      <w:r>
        <w:rPr>
          <w:rFonts w:ascii="Malgun Gothic" w:cs="Malgun Gothic" w:eastAsia="Malgun Gothic" w:hAnsi="Malgun Gothic"/>
          <w:i w:val="false"/>
          <w:iCs w:val="false"/>
          <w:sz w:val="18"/>
          <w:szCs w:val="18"/>
        </w:rPr>
        <w:t xml:space="preserve">• Hispanic (sensitivity/overlap).</w:t>
      </w:r>
    </w:p>
    <w:p>
      <w:pPr>
        <w:pStyle w:val="Heading2"/>
        <w:spacing w:after="100" w:before="200"/>
      </w:pPr>
      <w:r>
        <w:rPr>
          <w:rFonts w:ascii="Malgun Gothic" w:cs="Malgun Gothic" w:eastAsia="Malgun Gothic" w:hAnsi="Malgun Gothic"/>
          <w:b/>
          <w:bCs/>
          <w:sz w:val="20"/>
          <w:szCs w:val="20"/>
        </w:rPr>
        <w:t xml:space="preserve">5b. Author-reported rate ratios taken as directly reported</w:t>
      </w:r>
    </w:p>
    <w:p>
      <w:pPr>
        <w:spacing w:after="80"/>
      </w:pPr>
      <w:r>
        <w:rPr>
          <w:rFonts w:ascii="Malgun Gothic" w:cs="Malgun Gothic" w:eastAsia="Malgun Gothic" w:hAnsi="Malgun Gothic"/>
          <w:i w:val="false"/>
          <w:iCs w:val="false"/>
          <w:sz w:val="18"/>
          <w:szCs w:val="18"/>
        </w:rPr>
        <w:t xml:space="preserve">• (Nasseri 2009, Middle Eastern-California). Authors print the rate</w:t>
      </w:r>
    </w:p>
    <w:p>
      <w:pPr>
        <w:spacing w:after="80"/>
      </w:pPr>
      <w:r>
        <w:rPr>
          <w:rFonts w:ascii="Malgun Gothic" w:cs="Malgun Gothic" w:eastAsia="Malgun Gothic" w:hAnsi="Malgun Gothic"/>
          <w:i w:val="false"/>
          <w:iCs w:val="false"/>
          <w:sz w:val="18"/>
          <w:szCs w:val="18"/>
        </w:rPr>
        <w:t xml:space="preserve">• ratio and its CI: invasive breast 0.86 (126.2/146.9, 95% CI 0.84-0.88); taken</w:t>
      </w:r>
    </w:p>
    <w:p>
      <w:pPr>
        <w:spacing w:after="80"/>
      </w:pPr>
      <w:r>
        <w:rPr>
          <w:rFonts w:ascii="Malgun Gothic" w:cs="Malgun Gothic" w:eastAsia="Malgun Gothic" w:hAnsi="Malgun Gothic"/>
          <w:i w:val="false"/>
          <w:iCs w:val="false"/>
          <w:sz w:val="18"/>
          <w:szCs w:val="18"/>
        </w:rPr>
        <w:t xml:space="preserve">• as `directly-reported-IRR`. Standard not stated but NHW=146.9 implies 2000 US.</w:t>
      </w:r>
    </w:p>
    <w:p>
      <w:pPr>
        <w:spacing w:after="80"/>
      </w:pPr>
      <w:r>
        <w:rPr>
          <w:rFonts w:ascii="Malgun Gothic" w:cs="Malgun Gothic" w:eastAsia="Malgun Gothic" w:hAnsi="Malgun Gothic"/>
          <w:i w:val="false"/>
          <w:iCs w:val="false"/>
          <w:sz w:val="18"/>
          <w:szCs w:val="18"/>
        </w:rPr>
        <w:t xml:space="preserve">• New MENA analytic cell.</w:t>
      </w:r>
    </w:p>
    <w:p>
      <w:pPr>
        <w:spacing w:after="80"/>
      </w:pPr>
      <w:r>
        <w:rPr>
          <w:rFonts w:ascii="Malgun Gothic" w:cs="Malgun Gothic" w:eastAsia="Malgun Gothic" w:hAnsi="Malgun Gothic"/>
          <w:i w:val="false"/>
          <w:iCs w:val="false"/>
          <w:sz w:val="18"/>
          <w:szCs w:val="18"/>
        </w:rPr>
        <w:t xml:space="preserve">• (Goggins 2009, Asian Indian/Pakistani). Table 1 prints the female</w:t>
      </w:r>
    </w:p>
    <w:p>
      <w:pPr>
        <w:spacing w:after="80"/>
      </w:pPr>
      <w:r>
        <w:rPr>
          <w:rFonts w:ascii="Malgun Gothic" w:cs="Malgun Gothic" w:eastAsia="Malgun Gothic" w:hAnsi="Malgun Gothic"/>
          <w:i w:val="false"/>
          <w:iCs w:val="false"/>
          <w:sz w:val="18"/>
          <w:szCs w:val="18"/>
        </w:rPr>
        <w:t xml:space="preserve">• breast SIR relative to US White = 0.61 (0.56-0.66); `directly-reported-SIR`.</w:t>
      </w:r>
    </w:p>
    <w:p>
      <w:pPr>
        <w:spacing w:after="80"/>
      </w:pPr>
      <w:r>
        <w:rPr>
          <w:rFonts w:ascii="Malgun Gothic" w:cs="Malgun Gothic" w:eastAsia="Malgun Gothic" w:hAnsi="Malgun Gothic"/>
          <w:i w:val="false"/>
          <w:iCs w:val="false"/>
          <w:sz w:val="18"/>
          <w:szCs w:val="18"/>
        </w:rPr>
        <w:t xml:space="preserve">• Overlaps Gomez 2026 Asian Indian/Pakistani (sensitivity). CONTAMINATION NOTE: the</w:t>
      </w:r>
    </w:p>
    <w:p>
      <w:pPr>
        <w:spacing w:after="80"/>
      </w:pPr>
      <w:r>
        <w:rPr>
          <w:rFonts w:ascii="Malgun Gothic" w:cs="Malgun Gothic" w:eastAsia="Malgun Gothic" w:hAnsi="Malgun Gothic"/>
          <w:i w:val="false"/>
          <w:iCs w:val="false"/>
          <w:sz w:val="18"/>
          <w:szCs w:val="18"/>
        </w:rPr>
        <w:t xml:space="preserve">• uploaded 461.pdf is byte-for-byte this Goggins paper (mis-named); the SIR was</w:t>
      </w:r>
    </w:p>
    <w:p>
      <w:pPr>
        <w:spacing w:after="80"/>
      </w:pPr>
      <w:r>
        <w:rPr>
          <w:rFonts w:ascii="Malgun Gothic" w:cs="Malgun Gothic" w:eastAsia="Malgun Gothic" w:hAnsi="Malgun Gothic"/>
          <w:i w:val="false"/>
          <w:iCs w:val="false"/>
          <w:sz w:val="18"/>
          <w:szCs w:val="18"/>
        </w:rPr>
        <w:t xml:space="preserve">• attributed to its correct record (955), NOT to (Northern Plains AI/AN),</w:t>
      </w:r>
    </w:p>
    <w:p>
      <w:pPr>
        <w:spacing w:after="80"/>
      </w:pPr>
      <w:r>
        <w:rPr>
          <w:rFonts w:ascii="Malgun Gothic" w:cs="Malgun Gothic" w:eastAsia="Malgun Gothic" w:hAnsi="Malgun Gothic"/>
          <w:i w:val="false"/>
          <w:iCs w:val="false"/>
          <w:sz w:val="18"/>
          <w:szCs w:val="18"/>
        </w:rPr>
        <w:t xml:space="preserve">• whose correct full text is still unavailable (deferred).</w:t>
      </w:r>
    </w:p>
    <w:p>
      <w:pPr>
        <w:pStyle w:val="Heading2"/>
        <w:spacing w:after="100" w:before="200"/>
      </w:pPr>
      <w:r>
        <w:rPr>
          <w:rFonts w:ascii="Malgun Gothic" w:cs="Malgun Gothic" w:eastAsia="Malgun Gothic" w:hAnsi="Malgun Gothic"/>
          <w:b/>
          <w:bCs/>
          <w:sz w:val="20"/>
          <w:szCs w:val="20"/>
        </w:rPr>
        <w:t xml:space="preserve">Contamination / mis-classification catches (this extraction pass)</w:t>
      </w:r>
    </w:p>
    <w:p>
      <w:pPr>
        <w:spacing w:after="80"/>
      </w:pPr>
      <w:r>
        <w:rPr>
          <w:rFonts w:ascii="Malgun Gothic" w:cs="Malgun Gothic" w:eastAsia="Malgun Gothic" w:hAnsi="Malgun Gothic"/>
          <w:i w:val="false"/>
          <w:iCs w:val="false"/>
          <w:sz w:val="18"/>
          <w:szCs w:val="18"/>
        </w:rPr>
        <w:t xml:space="preserve">• the npj Breast Cancer 2026 mortality study flattened numbers looked like subtype IRRs but rendering showed</w:t>
      </w:r>
    </w:p>
    <w:p>
      <w:pPr>
        <w:spacing w:after="80"/>
      </w:pPr>
      <w:r>
        <w:rPr>
          <w:rFonts w:ascii="Malgun Gothic" w:cs="Malgun Gothic" w:eastAsia="Malgun Gothic" w:hAnsi="Malgun Gothic"/>
          <w:i w:val="false"/>
          <w:iCs w:val="false"/>
          <w:sz w:val="18"/>
          <w:szCs w:val="18"/>
        </w:rPr>
        <w:t xml:space="preserve">• they are mortality HAZARD RATIOS (Cox models) — demoted (not incidence).</w:t>
      </w:r>
    </w:p>
    <w:p>
      <w:pPr>
        <w:spacing w:after="80"/>
      </w:pPr>
      <w:r>
        <w:rPr>
          <w:rFonts w:ascii="Malgun Gothic" w:cs="Malgun Gothic" w:eastAsia="Malgun Gothic" w:hAnsi="Malgun Gothic"/>
          <w:i w:val="false"/>
          <w:iCs w:val="false"/>
          <w:sz w:val="18"/>
          <w:szCs w:val="18"/>
        </w:rPr>
        <w:t xml:space="preserve">• (Hmong-Minnesota) comparator is "All Minnesotans"/API (total</w:t>
      </w:r>
    </w:p>
    <w:p>
      <w:pPr>
        <w:spacing w:after="80"/>
      </w:pPr>
      <w:r>
        <w:rPr>
          <w:rFonts w:ascii="Malgun Gothic" w:cs="Malgun Gothic" w:eastAsia="Malgun Gothic" w:hAnsi="Malgun Gothic"/>
          <w:i w:val="false"/>
          <w:iCs w:val="false"/>
          <w:sz w:val="18"/>
          <w:szCs w:val="18"/>
        </w:rPr>
        <w:t xml:space="preserve">• population, both sexes), not NHW women — demoted (incomparable; the clean</w:t>
      </w:r>
    </w:p>
    <w:p>
      <w:pPr>
        <w:spacing w:after="80"/>
      </w:pPr>
      <w:r>
        <w:rPr>
          <w:rFonts w:ascii="Malgun Gothic" w:cs="Malgun Gothic" w:eastAsia="Malgun Gothic" w:hAnsi="Malgun Gothic"/>
          <w:i w:val="false"/>
          <w:iCs w:val="false"/>
          <w:sz w:val="18"/>
          <w:szCs w:val="18"/>
        </w:rPr>
        <w:t xml:space="preserve">• Hmong-vs-NHW female estimate comes from Mills 2005 instead).</w:t>
      </w:r>
    </w:p>
    <w:p>
      <w:pPr>
        <w:spacing w:after="80"/>
      </w:pPr>
      <w:r>
        <w:rPr>
          <w:rFonts w:ascii="Malgun Gothic" w:cs="Malgun Gothic" w:eastAsia="Malgun Gothic" w:hAnsi="Malgun Gothic"/>
          <w:i w:val="false"/>
          <w:iCs w:val="false"/>
          <w:sz w:val="18"/>
          <w:szCs w:val="18"/>
        </w:rPr>
        <w:t xml:space="preserve">• the Northern Plains AI/AN study, Goggins 2009 PDF mis-filing resolved as above.</w:t>
      </w:r>
    </w:p>
    <w:p>
      <w:pPr>
        <w:pStyle w:val="Heading2"/>
        <w:spacing w:after="100" w:before="200"/>
      </w:pPr>
      <w:r>
        <w:rPr>
          <w:rFonts w:ascii="Malgun Gothic" w:cs="Malgun Gothic" w:eastAsia="Malgun Gothic" w:hAnsi="Malgun Gothic"/>
          <w:b/>
          <w:bCs/>
          <w:sz w:val="20"/>
          <w:szCs w:val="20"/>
        </w:rPr>
        <w:t xml:space="preserve">5. Direction conversion</w:t>
      </w:r>
    </w:p>
    <w:p>
      <w:pPr>
        <w:spacing w:after="80"/>
      </w:pPr>
      <w:r>
        <w:rPr>
          <w:rFonts w:ascii="Malgun Gothic" w:cs="Malgun Gothic" w:eastAsia="Malgun Gothic" w:hAnsi="Malgun Gothic"/>
          <w:i w:val="false"/>
          <w:iCs w:val="false"/>
          <w:sz w:val="18"/>
          <w:szCs w:val="18"/>
        </w:rPr>
        <w:t xml:space="preserve">• (Kong 2020). Subtype IRRs are printed minority-vs-NHW (verified from</w:t>
      </w:r>
    </w:p>
    <w:p>
      <w:pPr>
        <w:spacing w:after="80"/>
      </w:pPr>
      <w:r>
        <w:rPr>
          <w:rFonts w:ascii="Malgun Gothic" w:cs="Malgun Gothic" w:eastAsia="Malgun Gothic" w:hAnsi="Malgun Gothic"/>
          <w:i w:val="false"/>
          <w:iCs w:val="false"/>
          <w:sz w:val="18"/>
          <w:szCs w:val="18"/>
        </w:rPr>
        <w:t xml:space="preserve">• "In [minority]… higher/lower than NHW") → taken as-is. The overall Black</w:t>
      </w:r>
    </w:p>
    <w:p>
      <w:pPr>
        <w:spacing w:after="80"/>
      </w:pPr>
      <w:r>
        <w:rPr>
          <w:rFonts w:ascii="Malgun Gothic" w:cs="Malgun Gothic" w:eastAsia="Malgun Gothic" w:hAnsi="Malgun Gothic"/>
          <w:i w:val="false"/>
          <w:iCs w:val="false"/>
          <w:sz w:val="18"/>
          <w:szCs w:val="18"/>
        </w:rPr>
        <w:t xml:space="preserve">• statement is printed NHW-vs-Black (1.04) → would invert to 0.96; left unrecorded</w:t>
      </w:r>
    </w:p>
    <w:p>
      <w:pPr>
        <w:spacing w:after="80"/>
      </w:pPr>
      <w:r>
        <w:rPr>
          <w:rFonts w:ascii="Malgun Gothic" w:cs="Malgun Gothic" w:eastAsia="Malgun Gothic" w:hAnsi="Malgun Gothic"/>
          <w:i w:val="false"/>
          <w:iCs w:val="false"/>
          <w:sz w:val="18"/>
          <w:szCs w:val="18"/>
        </w:rPr>
        <w:t xml:space="preserve">• as ambiguous.</w:t>
      </w:r>
    </w:p>
    <w:p>
      <w:pPr>
        <w:pStyle w:val="Heading2"/>
        <w:spacing w:after="100" w:before="200"/>
      </w:pPr>
      <w:r>
        <w:rPr>
          <w:rFonts w:ascii="Malgun Gothic" w:cs="Malgun Gothic" w:eastAsia="Malgun Gothic" w:hAnsi="Malgun Gothic"/>
          <w:b/>
          <w:bCs/>
          <w:sz w:val="20"/>
          <w:szCs w:val="20"/>
        </w:rPr>
        <w:t xml:space="preserve">Open item</w:t>
      </w:r>
    </w:p>
    <w:p>
      <w:pPr>
        <w:spacing w:after="80"/>
      </w:pPr>
      <w:r>
        <w:rPr>
          <w:rFonts w:ascii="Malgun Gothic" w:cs="Malgun Gothic" w:eastAsia="Malgun Gothic" w:hAnsi="Malgun Gothic"/>
          <w:i w:val="false"/>
          <w:iCs w:val="false"/>
          <w:sz w:val="18"/>
          <w:szCs w:val="18"/>
        </w:rPr>
        <w:t xml:space="preserve">• CIs are missing for the Howlader 2014 age-standardized IRRs and for a few rate-only</w:t>
      </w:r>
    </w:p>
    <w:p>
      <w:pPr>
        <w:spacing w:after="80"/>
      </w:pPr>
      <w:r>
        <w:rPr>
          <w:rFonts w:ascii="Malgun Gothic" w:cs="Malgun Gothic" w:eastAsia="Malgun Gothic" w:hAnsi="Malgun Gothic"/>
          <w:i w:val="false"/>
          <w:iCs w:val="false"/>
          <w:sz w:val="18"/>
          <w:szCs w:val="18"/>
        </w:rPr>
        <w:t xml:space="preserve">• rows (McCracken 2007, 100, 381). These enter the MAIN forest as point estimates and</w:t>
      </w:r>
    </w:p>
    <w:p>
      <w:pPr>
        <w:spacing w:after="80"/>
      </w:pPr>
      <w:r>
        <w:rPr>
          <w:rFonts w:ascii="Malgun Gothic" w:cs="Malgun Gothic" w:eastAsia="Malgun Gothic" w:hAnsi="Malgun Gothic"/>
          <w:i w:val="false"/>
          <w:iCs w:val="false"/>
          <w:sz w:val="18"/>
          <w:szCs w:val="18"/>
        </w:rPr>
        <w:t xml:space="preserve">• the sensitivity/precision-weighted pooling notes this. If exact CIs or case</w:t>
      </w:r>
    </w:p>
    <w:p>
      <w:pPr>
        <w:spacing w:after="80"/>
      </w:pPr>
      <w:r>
        <w:rPr>
          <w:rFonts w:ascii="Malgun Gothic" w:cs="Malgun Gothic" w:eastAsia="Malgun Gothic" w:hAnsi="Malgun Gothic"/>
          <w:i w:val="false"/>
          <w:iCs w:val="false"/>
          <w:sz w:val="18"/>
          <w:szCs w:val="18"/>
        </w:rPr>
        <w:t xml:space="preserve">• counts are later obtained, upgrade provenance and add CIs.</w:t>
      </w:r>
    </w:p>
    <w:p>
      <w:r>
        <w:br w:type="page"/>
      </w:r>
    </w:p>
    <w:p>
      <w:pPr>
        <w:sectPr>
          <w:pgSz w:w="15840" w:h="12240" w:orient="landscape"/>
          <w:pgMar w:top="720" w:right="720" w:bottom="720" w:left="720" w:header="708" w:footer="708" w:gutter="0"/>
          <w:pgNumType/>
          <w:docGrid w:linePitch="360"/>
        </w:sectPr>
      </w:pPr>
    </w:p>
    <w:p>
      <w:pPr>
        <w:pStyle w:val="Heading1"/>
        <w:spacing w:after="100" w:before="200"/>
      </w:pPr>
      <w:r>
        <w:rPr>
          <w:rFonts w:ascii="Malgun Gothic" w:cs="Malgun Gothic" w:eastAsia="Malgun Gothic" w:hAnsi="Malgun Gothic"/>
          <w:b/>
          <w:bCs/>
          <w:sz w:val="24"/>
          <w:szCs w:val="24"/>
        </w:rPr>
        <w:t xml:space="preserve">Supplementary Figure 1. Pooled forest plots — aggregate racial/ethnic groups</w:t>
      </w:r>
    </w:p>
    <w:p>
      <w:pPr>
        <w:spacing w:after="80"/>
      </w:pPr>
      <w:r>
        <w:rPr>
          <w:rFonts w:ascii="Malgun Gothic" w:cs="Malgun Gothic" w:eastAsia="Malgun Gothic" w:hAnsi="Malgun Gothic"/>
          <w:i/>
          <w:iCs/>
          <w:sz w:val="18"/>
          <w:szCs w:val="18"/>
        </w:rPr>
        <w:t xml:space="preserve">Every contributing study per group with the random-effects pooled diamond (Paule-Mandel/REML + Hartung-Knapp) and I². The high I² reflects non-independent overlapping registry data (all-included / sensitivity pooling); the main analysis instead uses one representative per registry family (Table 4).</w:t>
      </w:r>
    </w:p>
    <w:p>
      <w:pPr>
        <w:jc w:val="center"/>
      </w:pPr>
      <w:r>
        <w:drawing>
          <wp:inline distT="0" distB="0" distL="0" distR="0">
            <wp:extent cx="5734050" cy="838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34050" cy="8382000"/>
                    </a:xfrm>
                    <a:prstGeom prst="rect">
                      <a:avLst/>
                    </a:prstGeom>
                  </pic:spPr>
                </pic:pic>
              </a:graphicData>
            </a:graphic>
          </wp:inline>
        </w:drawing>
      </w:r>
    </w:p>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Figure 2. Pooled forest plots — triple-negative breast cancer</w:t>
      </w:r>
    </w:p>
    <w:p>
      <w:pPr>
        <w:jc w:val="center"/>
      </w:pPr>
      <w:r>
        <w:drawing>
          <wp:inline distT="0" distB="0" distL="0" distR="0">
            <wp:extent cx="6477000" cy="443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477000" cy="4438650"/>
                    </a:xfrm>
                    <a:prstGeom prst="rect">
                      <a:avLst/>
                    </a:prstGeom>
                  </pic:spPr>
                </pic:pic>
              </a:graphicData>
            </a:graphic>
          </wp:inline>
        </w:drawing>
      </w:r>
    </w:p>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Figure 3. Pooled forest plots — disaggregated subgroups with ≥2 studies</w:t>
      </w:r>
    </w:p>
    <w:p>
      <w:pPr>
        <w:jc w:val="center"/>
      </w:pPr>
      <w:r>
        <w:drawing>
          <wp:inline distT="0" distB="0" distL="0" distR="0">
            <wp:extent cx="6477000" cy="5629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477000" cy="5629275"/>
                    </a:xfrm>
                    <a:prstGeom prst="rect">
                      <a:avLst/>
                    </a:prstGeom>
                  </pic:spPr>
                </pic:pic>
              </a:graphicData>
            </a:graphic>
          </wp:inline>
        </w:drawing>
      </w:r>
    </w:p>
    <w:p>
      <w:pPr>
        <w:spacing w:after="80"/>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cd52e56431f6c566a74049906847fff298e04de.png"/><Relationship Id="rId8" Type="http://schemas.openxmlformats.org/officeDocument/2006/relationships/image" Target="media/ce733517712e4363cffe22202b140ab6a4e17c04.png"/><Relationship Id="rId9" Type="http://schemas.openxmlformats.org/officeDocument/2006/relationships/image" Target="media/a0ac2071944871291c8f9553127667b80a1d18ee.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2026-08-17T11:15:58.511Z</dcterms:created>
  <dcterms:modified xsi:type="dcterms:W3CDTF">2026-08-17T11:15:58.511Z</dcterms:modified>
</cp:coreProperties>
</file>

<file path=docProps/custom.xml><?xml version="1.0" encoding="utf-8"?>
<Properties xmlns="http://schemas.openxmlformats.org/officeDocument/2006/custom-properties" xmlns:vt="http://schemas.openxmlformats.org/officeDocument/2006/docPropsVTypes"/>
</file>