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[Author names withheld — pending co-author/supervisor approval]</w:t>
      </w:r>
    </w:p>
    <w:p>
      <w:r>
        <w:t>[Affiliations pending]</w:t>
      </w:r>
    </w:p>
    <w:p>
      <w:r>
        <w:t>* Corresponding author: [contact pending]</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one-per-registry-family, risk-of-bias, and GRADE sensitivity analyses.</w:t>
      </w:r>
    </w:p>
    <w:p>
      <w:r>
        <w:rPr>
          <w:b/>
        </w:rPr>
        <w:t>Results.</w:t>
      </w:r>
      <w:r>
        <w:t xml:space="preserve"> Aggregate IRRs versus NHW were 0.93 (95% CI 0.87–0.99) for Black, 0.68 for Hispanic, 0.78 for API, and 0.70 for AIAN women, with extreme heterogeneity (I² 99–100%). These aggregates were misleading. Disaggregated "API" spanned a ~3-fold range, from Korean (0.34) and Chinese (0.47) to Native Hawaiian (1.11, above NHW). By subtype, the near-null Black aggregate rose with tumour aggressiveness (HR+/HER2− 0.86 to triple-negative 2.00); this excess was ethnicity-specific — Native Hawaiian women were higher in HER2-positive but </w:t>
      </w:r>
      <w:r>
        <w:rPr>
          <w:i/>
        </w:rPr>
        <w:t>lower</w:t>
      </w:r>
      <w:r>
        <w:t xml:space="preserve"> in triple-negative disease (0.86). By age, the Black–White ratio crossed from 1.92 (ages 20–24) through unity at 40–44 to 0.78–0.84 after age 60. All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Some subtype- and subgroup-specific estimates rest on few sources and are hypothesis-generating; nonetheless, these findings support prioritizing disaggregated ethnicity-, subtype-, and age-specific reporting in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The openly available protocol, data, and code provide an important reproducibility safeguard notwithstanding the absence of prospective registration.</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 xml:space="preserve">We searched MEDLINE (via PubMed) and Embase on 11 July 2026 for records published from 1 January 2000 through 31 December 2025, restricted to English-language human studies. The strategy was intentionally specific rather than maximally sensitive, combining a race/ethnicity/disparity concept with an incidence/rate concept. In PubMed the race/ethnicity concept was captured by title terms </w:t>
      </w:r>
      <w:r>
        <w:rPr>
          <w:b/>
        </w:rPr>
        <w:t>or</w:t>
      </w:r>
      <w:r>
        <w:t xml:space="preserve"> the corresponding MeSH descriptors ("Racial Groups", "Ethnicity", "Health Status Disparities"), and the incidence concept by title, abstract, or the "Incidence" MeSH; in Embase the race/ethnicity concept was title-based. Anchoring the race/ethnicity concept principally in the title and controlled vocabulary was a deliberate choice to retrieve studies whose primary objective is racial/ethnic variation in breast cancer incidence, rather than the far larger literature that reports race only as one covariate in clinical, treatment, or survival analyses — a set that an unrestricted all-fields search would return in overwhelming volume with little gain in eligible primary-rate studies. The resulting sensitivity trade-off, and the mitigating roles of MeSH indexing and the near-census coverage of the included registries, are discussed in the Limitations.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first-pass classification, and initial data extraction; every full-text inclusion or exclusion decision was reviewed by the author. Each extracted value was recorded together with its exact source location (table, figure, or text), and a subset of values — including the key rate ratios and the intermediate quantities driving each pooled estimate — was cross-checked by the author against the primary sources (cross-check log); a full independent double-extraction of every reported value was not performed. To make the extraction independently checkable rather than reliant on unverified transcription, all extracted values, their source locations, the per-record screening decisions, and the analysis code are openly available (see Data availability), so that any reported value can be traced to its source.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our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our search was deliberately specific — anchoring the race/ethnicity/disparity concept principally in the article title, supplemented in PubMed by the relevant MeSH descriptors — which favours precision over sensitivity and may have missed studies that reported incidence disparities only as a secondary result, particularly in Embase, where the concept was title-based. We accepted this trade-off to target primary incidence-disparity studies; the inclusion of MeSH indexing in PubMed recovers studies not carrying the concept in their title, and because the principal national and regional registry systems (SEER, NAACCR, USCS, and the California and Hawaii registries) are each represented, the major sources of US incidence data are captured. We nonetheless cannot exclude that a more sensitive, abstract-wide search would add further regional analyses. This review was conducted by a single author with AI assistance rather than by two independent human reviewers: screening decisions were author-reviewed and key extracted values were cross-checked against their sources, but extraction was not fully independently double-performed, so residual single-extractor and transcription errors cannot be excluded. To mitigate this, every extracted value is published with its source location and all analysis code is open, allowing readers to verify any value against its primary source.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in a supporting role only: the literature-search workflow, de-duplication, first-pass screening, data-extraction support, analysis-code development, figure preparation, and language editing of the draft. All statistical analyses were executed by the author using the openly available code; the AI did not perform the analyses or determine the results. The AI is not an author and bears no responsibility for the work. All computed estimates are reproducible from the openly available analysis code, and all extracted values are provided with their source locations so they can be independently verified. Data extraction was AI-assisted; the author reviewed the AI outputs, cross-checked the key extracted values and all drafted claims against the sources, and takes full responsibility for the analyses, interpretation, and content, though a full independent double-extraction of every value was not performed (see Methods and Limitations).</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[To be completed once authorship is confirmed.] Conceptualization, Methodology, Formal analysis, Data curation, Investigation, Software, Visualization, Writing – original draft, Writing – review &amp; editing.</w:t>
      </w:r>
    </w:p>
    <w:p>
      <w:r>
        <w:rPr>
          <w:b/>
        </w:rPr>
        <w:t>Author list.</w:t>
      </w:r>
      <w:r>
        <w:t xml:space="preserve"> [Author names, ORCIDs, affiliations, and corresponding-author contact to be added pending co-author/supervisor approval.]</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 PMID: 36895969.</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 PMID: 33782057.</w:t>
      </w:r>
    </w:p>
    <w:p>
      <w:pPr>
        <w:spacing w:after="80"/>
      </w:pPr>
      <w:r>
        <w:t xml:space="preserve">8. </w:t>
      </w:r>
      <w:r>
        <w:t>Nobel TB, Asumeng CK, Jasek J, Van Beck KC, Mathur R, Qiao B, Brown JJ. Disparities in mortality-to-incidence ratios by race/ethnicity for female breast cancer in New York City, 2002-2016. Cancer Med. 2020;9(21):8226–8234. doi:10.1002/cam4.3309. PMID: 33006431.</w:t>
      </w:r>
    </w:p>
    <w:p>
      <w:pPr>
        <w:spacing w:after="80"/>
      </w:pPr>
      <w:r>
        <w:t xml:space="preserve">9. </w:t>
      </w:r>
      <w:r>
        <w:t>DerSimonian R, Laird N. Meta-analysis in clinical trials. Control Clin Trials. 1986;7(3):177–188. PMID: 3802833.</w:t>
      </w:r>
    </w:p>
    <w:p>
      <w:pPr>
        <w:spacing w:after="80"/>
      </w:pPr>
      <w:r>
        <w:t xml:space="preserve">10. </w:t>
      </w:r>
      <w:r>
        <w:t>Higgins JPT, Thompson SG, Deeks JJ, Altman DG. Measuring inconsistency in meta-analyses. BMJ. 2003;327(7414):557–560. PMID: 12958120.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 PMID: 18436948.</w:t>
      </w:r>
    </w:p>
    <w:p>
      <w:pPr>
        <w:spacing w:after="80"/>
      </w:pPr>
      <w:r>
        <w:t xml:space="preserve">12. </w:t>
      </w:r>
      <w:r>
        <w:t>Davis Lynn BC, Figueroa JD, Laryea D, Awittor FK, Oti NOO, Booker QS, et al. Breast Cancer Incidence Rates in Ghanaian and US Black Women From 2013 Through 2015.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ethnic women in the United States from 2000 to 2018 by time period, age and tumor stage.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U.S. population.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 PMID: 39794169.</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and Sex.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