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and Meta-analysis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Core Collection) were searched for U.S. studies reporting female invasive breast cancer incidence by racial or ethnic group relative to a White or non-Hispanic White (NHW) comparator, following PRISMA</w:t>
      </w:r>
    </w:p>
    <w:p>
      <w:pPr>
        <w:spacing w:after="60" w:line="300"/>
      </w:pPr>
      <w:r>
        <w:rPr>
          <w:rFonts w:ascii="Times New Roman" w:cs="Times New Roman" w:eastAsia="Times New Roman" w:hAnsi="Times New Roman"/>
          <w:sz w:val="24"/>
          <w:szCs w:val="24"/>
        </w:rPr>
        <w:t xml:space="preserve">2020. Because these registries (SEER, NPCR/USCS, NAACCR, and state) overlap, one representative</w:t>
      </w:r>
    </w:p>
    <w:p>
      <w:pPr>
        <w:spacing w:after="160" w:line="360"/>
      </w:pPr>
      <w:r>
        <w:rPr>
          <w:rFonts w:ascii="Times New Roman" w:cs="Times New Roman" w:eastAsia="Times New Roman" w:hAnsi="Times New Roman"/>
          <w:sz w:val="24"/>
          <w:szCs w:val="24"/>
        </w:rPr>
        <w:t xml:space="preserve">population-based estimate was selected per registry family rather than pooled. Each estimate was an incidence rate ratio (IRR) versus NHW women; ratios not reported directly were recomputed from a single master dataset, and risk of bias was assessed with the Joanna Briggs Institute checklist for prevalence and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included—48 eligible for quantitative synthesis (43 with extractable data) and 115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0.50 (Mexican) to 0.82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Subgroup-level surveillance, with linkage-based counting of AI/AN cases, would better identify the highest-incidence populations. This descriptive review compares incidence and does not assess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death.¹ Its rates are not the same across racial and ethnic groups. In the American Cancer Society's 2024 report, non-Hispanic Black (NHB) women had breast cancer incidence about 5% lower than non-Hispanic White (NHW) women but 38% higher mortality.¹ NHB women also have the highest rate of triple-negative breast cancer (TNBC),² and their tumors, like those in several other minority groups, are diagnosed at younger ages than in NHW women.³ Differences of this kind have been linked to the distribution of molecular subtypes and to stage at diagnosis, screening, and access to care.²,⁴</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the clearest case. Treated as one population its incidence sits well below that of NHW women, but that single number covers a wide spread. Using California data, Gomez and colleagues⁵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Hmong,⁶ and rates differ again across the individual Asian ethnicities followed over time.⁷ Hispanic/Latina women are not one group either: incidence differs by country of origin,⁸ and origin-specific rates have been reported for Hispanic women in California.⁹ For AI/AN women, the aggregate rate is also shaped by how race is recorded: central registries that assign race by observation misclassify many AI/AN cases as non-Native, which understates their rates. Espey and colleagues¹⁰ corrected this by linking registry records to Indian Health Service (IHS) enrollment, and the corrected rates were highest in the Northern and Southern Plains and in Alaska, where cancer in Alaska Native women has been tracked in dedicated registries.¹¹,¹² Subtype rearranges the order once more: NHW women have the highest rate of HR+/HER2− disease while NHB women have the highest rate of TNBC,²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scattered rather than assembled.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statement.¹³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(43 provided extractable quantitative data) and the remaining 115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we selected for each racial or ethnic group and analytic dimension a single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Each estimate was assigned to a registry "family," and the registry, region, diagnosis period, age range, group, and outcome of every study were tabulated so that overlaps could be seen (Supplementary Table 4). The representative estimate was the one with the broadest population coverage (USCS &gt; NAACCR &gt; SEER-national &gt; state or regional),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data,¹⁴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Publication bias and small-study effects were not formally tested with funnel plots or Egger regression: within each group the estimates come largely from the same overlapping registry data rather than from independent studies, which limits the usefulness of small-study asymmetry tests, and population-based registry incidence rates are less likely to be affected by the selective reporting these tests are designed to detect.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emphasizes the racial and ethnic disparities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Every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every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synthesis—43 of which provided extractable estimates (144 estimates in total)²⁻⁹,¹¹⁻¹²,¹⁵⁻⁴⁷—and the remaining 115 were included in the narrative synthesis (163 = 48 + 115).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estimates to one representative per registry family, 85 analytic cells (racial or ethnic group × analytic dimension) remained for the main analysis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spanning Cambodian 0.26, Laotian 0.39, Vietnamese 0.59, Korean 0.68, Chinese 0.76, Filipina 0.86, and Asian Indian/Pakistani 0.96;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0.50 (0.38–0.67), New Latino 0.68 (0.62–0.76), Cuban 0.76 (0.68–0.84), and Puerto Rican 0.82 (0.73–0.92);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w:t>
      </w:r>
    </w:p>
    <w:p>
      <w:pPr>
        <w:pStyle w:val="Heading2"/>
        <w:keepNext/>
        <w:spacing w:after="80" w:line="360"/>
      </w:pPr>
      <w:r>
        <w:rPr>
          <w:rFonts w:ascii="Times New Roman" w:cs="Times New Roman" w:eastAsia="Times New Roman" w:hAnsi="Times New Roman"/>
          <w:b/>
          <w:bCs/>
          <w:sz w:val="24"/>
          <w:szCs w:val="24"/>
        </w:rPr>
        <w:t xml:space="preserve">Male breast cancer</w:t>
      </w:r>
    </w:p>
    <w:p>
      <w:pPr>
        <w:spacing w:after="160" w:line="360"/>
      </w:pPr>
      <w:r>
        <w:rPr>
          <w:rFonts w:ascii="Times New Roman" w:cs="Times New Roman" w:eastAsia="Times New Roman" w:hAnsi="Times New Roman"/>
          <w:sz w:val="24"/>
          <w:szCs w:val="24"/>
        </w:rPr>
        <w:t xml:space="preserve">Among men, breast cancer incidence in Black men was 1.52 (1.44–1.60)† relative to White men (Table 1).</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115 studies not entered into the quantitative synthesis met the inclusion criteria but did not report an incidence rate ratio, or age-standardized rates, from which a comparison with a non-Hispanic White reference could be recovered; they are listed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their findings were generally in the same direction as the quantitative results—lower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stable across three checks (Supplementary Table 6). Restricting to low-risk-of-bias studies left 67 of 85 cell representatives unchanged (5 changed, 13 dropped); restricting to directly reported estimates left 46 unchanged (6 changed, 33 dropped); and restricting to NHW-comparator estimates left 57 unchanged (2 changed, 26 dropped), the dropped cells being those whose only representative used an unstratified White comparator — the receptor-defined subtypes, male breast cancer,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Disaggregated estimates varied widely within these aggregate categories. Among Asian American subgroups the IRR ranged from 0.16 in Hmong women to 1.05 in Japanese women; Native Hawaiian women (1.21) and the Native Hawaiian and Pacific Islander (NHPI) aggregate (1.21) were higher than NHW women. Hispanic incidence rose from 0.50 in Mexican women to 0.82 in Puerto Rican women, and AI/AN incidence ranged from 0.49 in the Navajo area to 1.33 in the Northern Plains. The pattern for triple-negative breast cancer (TNBC) differed from that for overall incidence: NHB women had the highest TNBC incidence (1.95), whereas most other groups were at or below the NHW rate.</w:t>
      </w:r>
    </w:p>
    <w:p>
      <w:pPr>
        <w:spacing w:after="160" w:line="360"/>
      </w:pPr>
      <w:r>
        <w:rPr>
          <w:rFonts w:ascii="Times New Roman" w:cs="Times New Roman" w:eastAsia="Times New Roman" w:hAnsi="Times New Roman"/>
          <w:sz w:val="24"/>
          <w:szCs w:val="24"/>
        </w:rPr>
        <w:t xml:space="preserve">These findings are consistent with earlier disaggregated analyses and extend them. Gomez and colleagues first described how aggregated Asian American data can hide substantial subgroup differences;⁵ the present estimates span the full set of subgroups over the most recent SEER-21 period.²⁶ The high incidence observed in Native Hawaiian women echoes the heterogeneous burden reported in Hawaii,²¹ and the ordering of Hispanic subgroups—lower in Mexican and higher in Puerto Rican and Cuban women—reproduces the gradient described among first-generation U.S. Hispanics.⁸ The regional range across AI/AN populations, and the low rate in the Navajo area, are in line with prior regional and tribal analyses.¹⁰,³³,³⁷,⁴⁰ The higher TNBC incidence in NHB women is also concordant with prior subtype-specific work.²,²⁰ The contribution here is to bring these scattered estimates together with overlapping registry data reduced to one representative population-based estimate per registry family and a consistent NHW comparator, so that aggregate and subgroup results can be read side by side.</w:t>
      </w:r>
    </w:p>
    <w:p>
      <w:pPr>
        <w:spacing w:after="160" w:line="360"/>
      </w:pPr>
      <w:r>
        <w:rPr>
          <w:rFonts w:ascii="Times New Roman" w:cs="Times New Roman" w:eastAsia="Times New Roman" w:hAnsi="Times New Roman"/>
          <w:sz w:val="24"/>
          <w:szCs w:val="24"/>
        </w:rPr>
        <w:t xml:space="preserve">Several explanations have been proposed in the included studies, and are best treated as possible contributors rather than established causes. Nativity and generational status are among the most consistently reported: lower incidence in some Asian and Hispanic subgroups has been linked to a larger proportion of foreign-born women and to residence in ethnic enclaves, with rates that tend to rise with longer U.S. residence.⁵,⁹ Differences in the distribution of molecular subtypes and in stage at diagnosis, screening, and access to care have also been described and may contribute to the observed patterns.²,²⁸ For AI/AN populations, part of the apparent difference reflects a data issue rather than a difference in underlying risk: unlinked national registries misclassify race and undercount AI/AN cases, which is why Indian Health Service–linked estimates were preferred for this group.¹⁰,⁴⁰ The available data do not support attributing these differences to genetic ancestry or to a specific biological mechanism.</w:t>
      </w:r>
    </w:p>
    <w:p>
      <w:pPr>
        <w:spacing w:after="160" w:line="360"/>
      </w:pPr>
      <w:r>
        <w:rPr>
          <w:rFonts w:ascii="Times New Roman" w:cs="Times New Roman" w:eastAsia="Times New Roman" w:hAnsi="Times New Roman"/>
          <w:sz w:val="24"/>
          <w:szCs w:val="24"/>
        </w:rPr>
        <w:t xml:space="preserve">For surveillance and clinical practice, these results suggest that reporting incidence only at the aggregate level can understate risk in subgroups whose incidence is at or above that of NHW women, including Native Hawaiian women, several AI/AN regional populations, and NHB women for TNBC. Disaggregated reporting, where sample sizes allow, would give a more accurate basis for characterizing incidence across these subgroups. For AI/AN populations specifically, surveillance based on registry–Indian Health Service linkage would help avoid undercounting. Stable estimates for the smallest subgroups will require larger or linked data sources and consistent standardization across registries and diagnosis periods.</w:t>
      </w:r>
    </w:p>
    <w:p>
      <w:pPr>
        <w:spacing w:after="160" w:line="360"/>
      </w:pPr>
      <w:r>
        <w:rPr>
          <w:rFonts w:ascii="Times New Roman" w:cs="Times New Roman" w:eastAsia="Times New Roman" w:hAnsi="Times New Roman"/>
          <w:sz w:val="24"/>
          <w:szCs w:val="24"/>
        </w:rPr>
        <w:t xml:space="preserve">This review has several strengths. The search covered multiple databases; the synthesis included disaggregated ethnic subgroups, receptor-defined subtypes, and male breast cancer; overlapping registry data were handled explicitly by selecting one representative estimate per registry family; the provenance of each estimate was recorded; risk of bias was assessed with a tool designed for prevalence and incidence studies; and all derived rate ratios were recomputed and cross-checked against a single master extraction dataset. The review also has limitations. It is a descriptive comparison of incidence and was not designed to identify causes. Because many estimates come from overlapping or nested registry populations, they are not statistically independent and were not combined into a pooled summary. Some rate ratios were computed from published rates, and a few used a fixed reference rate as the denominator (for example, the Florida Hispanic-origin estimates⁸) or an unstratified White comparator (the receptor-defined subtypes and male breast cancer), which can move a ratio slightly. Included studies also differed in standard population and diagnosis period, which limits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several Asian, Pacific Islander, Hispanic, and AI/AN subgroups differ markedly from their aggregate, and the subtype pattern for NHB women differs from the overall pattern. Registry overlap and the undercounting of AI/AN populations warrant attention when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2026-08-19T09:14:28.226Z</dcterms:created>
  <dcterms:modified xsi:type="dcterms:W3CDTF">2026-08-19T09:14:28.226Z</dcterms:modified>
</cp:coreProperties>
</file>

<file path=docProps/custom.xml><?xml version="1.0" encoding="utf-8"?>
<Properties xmlns="http://schemas.openxmlformats.org/officeDocument/2006/custom-properties" xmlns:vt="http://schemas.openxmlformats.org/officeDocument/2006/docPropsVTypes"/>
</file>