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against a White reference — non-Hispanic White in most studies, an unstratified White group in a minority (flagged in Table 4 and evaluated in the NHW-comparator sensitivity, Table 9c).</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62 of 90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 Studies marked † used an unstratified White comparator (not non-Hispanic White; see Table 4); a few pooled cells — the aggregate Black group, Asian Indian/Pakistani, and Alaska Native — therefore combine NHW and unstratified-White estimates, a further reason to read these pooled values as sensitivity output rather than headline estimates.</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195504f076bbc81d82308935508bbf0aedf7c6.png"/><Relationship Id="rId8" Type="http://schemas.openxmlformats.org/officeDocument/2006/relationships/image" Target="media/ce733517712e4363cffe22202b140ab6a4e17c04.png"/><Relationship Id="rId9" Type="http://schemas.openxmlformats.org/officeDocument/2006/relationships/image" Target="media/94350aed57da5e07d1c7b0533ec58a119cc2de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2026-08-17T23:36:25.747Z</dcterms:created>
  <dcterms:modified xsi:type="dcterms:W3CDTF">2026-08-17T23:36:25.748Z</dcterms:modified>
</cp:coreProperties>
</file>

<file path=docProps/custom.xml><?xml version="1.0" encoding="utf-8"?>
<Properties xmlns="http://schemas.openxmlformats.org/officeDocument/2006/custom-properties" xmlns:vt="http://schemas.openxmlformats.org/officeDocument/2006/docPropsVTypes"/>
</file>