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(Black-versus-White rate ratio 2.21, 95% CI 1.96–2.48), consistent with the higher NHB triple-negative burden reported below.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That eligible studies surfaced this way indicates a small residual false-negative rate; single-reviewer screening with model assistance, rather than independent dual screening, is a limitation (Supplementary, screening audit).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not a contemporary one—diagnosis periods vary by cell, and some representatives predate 2005)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2026-09-12T01:50:25.616Z</dcterms:created>
  <dcterms:modified xsi:type="dcterms:W3CDTF">2026-09-12T01:50:25.617Z</dcterms:modified>
</cp:coreProperties>
</file>

<file path=docProps/custom.xml><?xml version="1.0" encoding="utf-8"?>
<Properties xmlns="http://schemas.openxmlformats.org/officeDocument/2006/custom-properties" xmlns:vt="http://schemas.openxmlformats.org/officeDocument/2006/docPropsVTypes"/>
</file>