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 (SIR)</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Effect measure: an incidence rate ratio unless the estimate is marked (SIR), a standardized incidence ratio standardized indirectly to the reference population. Both SIRs are overlapping estimates, so every representative — and so every estimate in the main text — is a rate ratio.</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31 of the 222 rows use an unstratified White reference; 19 of those are the representative for their cell, which is the count the main text reports, and the other 12 are overlapping estimates listed here only.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two SIRs,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two SIRs are excluded because they standardize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2026-09-23T10:09:01.271Z</dcterms:created>
  <dcterms:modified xsi:type="dcterms:W3CDTF">2026-09-23T10:09:01.271Z</dcterms:modified>
</cp:coreProperties>
</file>

<file path=docProps/custom.xml><?xml version="1.0" encoding="utf-8"?>
<Properties xmlns="http://schemas.openxmlformats.org/officeDocument/2006/custom-properties" xmlns:vt="http://schemas.openxmlformats.org/officeDocument/2006/docPropsVTypes"/>
</file>