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and Meta-Analysis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DL</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DerSimonian-Laird (random-effects τ² estimator)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GRADE</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Grading of Recommendations, Assessment, Development and Evaluations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HKSJ</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Hartung-Knapp-Sidik-Jonkman (confidence-interval method)</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I²</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I-squared (proportion of variation due to between-study heterogeneity)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and North African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Newcastle-Ottawa Scale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Paule-Mandel (random-effects τ² estimator, REML-equivalent)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Q</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Cochran's Q (heterogeneity test statistic)</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REML</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restricted maximum likelihood</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τ²</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tau-squared (between-study variance)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163)</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6346"/>
        <w:gridCol w:w="3295"/>
        <w:gridCol w:w="3173"/>
        <w:gridCol w:w="1586"/>
      </w:tblGrid>
      <w:tr>
        <w:trPr>
          <w:tblHeader/>
        </w:trPr>
        <w:tc>
          <w:tcPr>
            <w:tcW w:type="dxa" w:w="634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329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1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158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Synthesis</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white/black/AANHPI/Hispanic subtypes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NHW/AANHPI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white/black/Hispanic/AANHPI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NHB/NHW/Hispanic/AANHPI/AI/AN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NHW/Black/Hispanic/AANHPI by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AANHPI/Hispanic/AA vs White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White/AANHPI/Black continental + 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women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NHW/black/AI/AN/AANHPI + histology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AANHPI/NHW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NHW/AANHPI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per registry family per analytic cell for the main analysis; overlapping estimates retained for sensitivity.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968"/>
        <w:gridCol w:w="1865"/>
        <w:gridCol w:w="2279"/>
        <w:gridCol w:w="2072"/>
        <w:gridCol w:w="1243"/>
        <w:gridCol w:w="2279"/>
        <w:gridCol w:w="2694"/>
      </w:tblGrid>
      <w:tr>
        <w:trPr>
          <w:tblHeader/>
        </w:trPr>
        <w:tc>
          <w:tcPr>
            <w:tcW w:type="dxa" w:w="196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86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07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69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For each cell (outcome dimension × group) one representative was kept per registry family, selected by (i) an IRR being computable, (ii) coverage (USCS &gt; NAACCR &gt; SEER-national &gt; state/regional), (iii) most recent end-year then longest span, and (iv) clearest standardization / directly-reported CI.</w:t>
      </w:r>
    </w:p>
    <w:p>
      <w:pPr>
        <w:spacing w:after="80"/>
      </w:pPr>
      <w:r>
        <w:rPr>
          <w:rFonts w:ascii="Malgun Gothic" w:cs="Malgun Gothic" w:eastAsia="Malgun Gothic" w:hAnsi="Malgun Gothic"/>
          <w:i/>
          <w:iCs/>
          <w:sz w:val="18"/>
          <w:szCs w:val="18"/>
        </w:rPr>
        <w:t xml:space="preserve">Main analysis: “yes (representative)” = the estimate carried into the main analysis; “no (overlaps representative)” = collapses to the cell representative and is used only in the all-included sensitivity analysis; “no (AI/AN undercount)” = an unlinked national-registry AI/AN estimate demoted in favour of the IHS-linked representative; “no (registry-direct anchor)” = the SEER-Explorer reference value, not a screened study.</w:t>
      </w:r>
    </w:p>
    <w:p>
      <w:pPr>
        <w:spacing w:after="80"/>
      </w:pPr>
      <w:r>
        <w:rPr>
          <w:rFonts w:ascii="Malgun Gothic" w:cs="Malgun Gothic" w:eastAsia="Malgun Gothic" w:hAnsi="Malgun Gothic"/>
          <w:i/>
          <w:iCs/>
          <w:sz w:val="18"/>
          <w:szCs w:val="18"/>
        </w:rPr>
        <w:t xml:space="preserve">Terminology: comparisons are versus non-Hispanic White (NHW); “non-Hispanic Black (NHB)” and NHW denote non-Hispanic categories. Five older sources did NOT stratify by Hispanic origin — Anderson 2008 and Brinton 2008 (age-specific), Gleason 2012 (ER/PR subtypes), and Cronin 2012 and Richardson 2016 (aggregate, sensitivity/overlap only) — so their Black/White groups are non-stratified; none is a main-analysis representative for the headline (aggregate/TNBC) cells (Note 1).</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(Newcastle-Ottawa Scale, adapted)</w:t>
      </w:r>
    </w:p>
    <w:p>
      <w:pPr>
        <w:spacing w:after="80"/>
      </w:pPr>
      <w:r>
        <w:rPr>
          <w:rFonts w:ascii="Malgun Gothic" w:cs="Malgun Gothic" w:eastAsia="Malgun Gothic" w:hAnsi="Malgun Gothic"/>
          <w:i/>
          <w:iCs/>
          <w:sz w:val="18"/>
          <w:szCs w:val="18"/>
        </w:rPr>
        <w:t xml:space="preserve">Each cell shows 1 where the item was met (blank = not met). Selection (max 4): S1–S4; Comparability (max 2): C1–C2; Outcome (max 3): O1–O3. AI-generated first pass; reviewer to spot-check.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320"/>
        <w:gridCol w:w="840"/>
        <w:gridCol w:w="840"/>
        <w:gridCol w:w="840"/>
        <w:gridCol w:w="840"/>
        <w:gridCol w:w="840"/>
        <w:gridCol w:w="840"/>
        <w:gridCol w:w="840"/>
        <w:gridCol w:w="840"/>
        <w:gridCol w:w="840"/>
        <w:gridCol w:w="2520"/>
      </w:tblGrid>
      <w:tr>
        <w:trPr>
          <w:tblHeader/>
        </w:trPr>
        <w:tc>
          <w:tcPr>
            <w:tcW w:type="dxa" w:w="43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Study</w:t>
            </w:r>
          </w:p>
        </w:tc>
        <w:tc>
          <w:tcPr>
            <w:tcW w:type="dxa" w:w="3360"/>
            <w:gridSpan w:val="4"/>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Selection</w:t>
            </w:r>
          </w:p>
        </w:tc>
        <w:tc>
          <w:tcPr>
            <w:tcW w:type="dxa" w:w="1680"/>
            <w:gridSpan w:val="2"/>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Comparability</w:t>
            </w:r>
          </w:p>
        </w:tc>
        <w:tc>
          <w:tcPr>
            <w:tcW w:type="dxa" w:w="2520"/>
            <w:gridSpan w:val="3"/>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Outcome</w:t>
            </w:r>
          </w:p>
        </w:tc>
        <w:tc>
          <w:tcPr>
            <w:tcW w:type="dxa" w:w="25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Quality</w:t>
            </w:r>
          </w:p>
        </w:tc>
      </w:tr>
      <w:tr>
        <w:trPr>
          <w:tblHeader/>
        </w:trPr>
        <w:tc>
          <w:tcPr>
            <w:vMerge w:val="continue"/>
          </w:tcP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S3</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S4</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O3</w:t>
            </w:r>
          </w:p>
        </w:tc>
        <w:tc>
          <w:tcPr>
            <w:vMerge w:val="continue"/>
          </w:tcP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Howlader 2014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Davis Lynn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Zhang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Mills 2005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Hendrick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Liu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Zahrieh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Xu 2024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Loo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Ellington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Cronin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Baquet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Gleason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Brinton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2026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Anderson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Kong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2017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Richardson 2016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Lund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Harper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Gopalani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Ihenacho 2023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Nasseri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Goggins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Yazzie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Xie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Pinheiro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Kem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Carozza 2006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2003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Miller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McCracken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Wilkinson 2002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bl>
    <w:p>
      <w:pPr>
        <w:spacing w:after="80"/>
      </w:pPr>
    </w:p>
    <w:p>
      <w:pPr>
        <w:spacing w:after="80"/>
      </w:pPr>
      <w:r>
        <w:rPr>
          <w:rFonts w:ascii="Malgun Gothic" w:cs="Malgun Gothic" w:eastAsia="Malgun Gothic" w:hAnsi="Malgun Gothic"/>
          <w:i/>
          <w:iCs/>
          <w:sz w:val="18"/>
          <w:szCs w:val="18"/>
        </w:rPr>
        <w:t xml:space="preserve">Sel = Selection (max 4 stars): (1) representativeness — defined population-based registry; (2) sample size — adequate case count for a stable age-adjusted rate (national/multi-registry or ≥50 cases); (3) ascertainment of race/ethnicity — standard registry coding or IHS/tribal linkage (surname-based or national AI/AN undercount loses the star); (4) case ascertainment completeness (high-completeness registry).</w:t>
      </w:r>
    </w:p>
    <w:p>
      <w:pPr>
        <w:spacing w:after="80"/>
      </w:pPr>
      <w:r>
        <w:rPr>
          <w:rFonts w:ascii="Malgun Gothic" w:cs="Malgun Gothic" w:eastAsia="Malgun Gothic" w:hAnsi="Malgun Gothic"/>
          <w:i/>
          <w:iCs/>
          <w:sz w:val="18"/>
          <w:szCs w:val="18"/>
        </w:rPr>
        <w:t xml:space="preserve">Comp = Comparability (max 2 stars): (1) age-standardization to a stated standard population (e.g., 2000 US); (2) minority and non-Hispanic White comparator from the same standard, diagnosis period and registry (externally-paired comparator loses the star).</w:t>
      </w:r>
    </w:p>
    <w:p>
      <w:pPr>
        <w:spacing w:after="80"/>
      </w:pPr>
      <w:r>
        <w:rPr>
          <w:rFonts w:ascii="Malgun Gothic" w:cs="Malgun Gothic" w:eastAsia="Malgun Gothic" w:hAnsi="Malgun Gothic"/>
          <w:i/>
          <w:iCs/>
          <w:sz w:val="18"/>
          <w:szCs w:val="18"/>
        </w:rPr>
        <w:t xml:space="preserve">Out = Outcome (max 3 stars): (1) outcome assessment — invasive breast cancer via registry/pathology record linkage; (2) statistical reporting — 95% CI or SE reported; (3) appropriate analysis — age-adjusted IRR directly reported or correctly computed with a variance (point-only computation loses the star).</w:t>
      </w:r>
    </w:p>
    <w:p>
      <w:pPr>
        <w:spacing w:after="80"/>
      </w:pPr>
      <w:r>
        <w:rPr>
          <w:rFonts w:ascii="Malgun Gothic" w:cs="Malgun Gothic" w:eastAsia="Malgun Gothic" w:hAnsi="Malgun Gothic"/>
          <w:i/>
          <w:iCs/>
          <w:sz w:val="18"/>
          <w:szCs w:val="18"/>
        </w:rPr>
        <w:t xml:space="preserve">Overall quality (AHRQ thresholds): Good = Selection 3–4 AND Comparability 1–2 AND Outcome 2–3; Fair = Selection 2 AND Comparability 1–2 AND Outcome 2–3; Poor = Selection 0–1 OR Comparability 0 OR Outcome 0–1. The 8 Poor ratings arise where only a point estimate without a confidence interval was available (Outcome = 1). Assessment is an AI-generated first pass for reviewer verification.</w:t>
      </w:r>
    </w:p>
    <w:p>
      <w:r>
        <w:br w:type="page"/>
      </w:r>
    </w:p>
    <w:p>
      <w:pPr>
        <w:pStyle w:val="Heading1"/>
        <w:spacing w:after="100" w:before="200"/>
      </w:pPr>
      <w:r>
        <w:rPr>
          <w:rFonts w:ascii="Malgun Gothic" w:cs="Malgun Gothic" w:eastAsia="Malgun Gothic" w:hAnsi="Malgun Gothic"/>
          <w:b/>
          <w:bCs/>
          <w:sz w:val="24"/>
          <w:szCs w:val="24"/>
        </w:rPr>
        <w:t xml:space="preserve">Supplementary Table 6. Certainty of evidence assessment using a GRADE-informed scoring framework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000"/>
        <w:gridCol w:w="11400"/>
      </w:tblGrid>
      <w:tr>
        <w:trPr>
          <w:tblHeader/>
        </w:trPr>
        <w:tc>
          <w:tcPr>
            <w:tcW w:type="dxa" w:w="3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Criteria</w:t>
            </w:r>
          </w:p>
        </w:tc>
        <w:tc>
          <w:tcPr>
            <w:tcW w:type="dxa" w:w="114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Descriptions</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Baseline certainty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All outcomes are bodies of observational, population-based cancer-registry evidence and therefore start at Low (baseline score = 0).</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Based on the adapted Newcastle-Ottawa Scale (Table 5). Downgraded by −1 when the representative study for the outcome was rated Poor.</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Inconsistency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overlapping estimates for the same cell disagreed in the direction of effect. The very high I² among overlapping registry estimates was NOT treated as inconsistency, because it reflects repeated inclusion of non-independent, nested registry data rather than genuine between-study heterogeneity.</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Indirectness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population, exposure, comparator, or outcome did not directly correspond to the review question. Judged not serious: U.S. population-based registries directly measure age-adjusted invasive breast-cancer incidence by race/ethnicity versus non-Hispanic White.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Imprecision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95% confidence interval included the null (IRR = 1.0) for a near-null estimate, or when only a point estimate without a confidence interval was available.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Publication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Judged not serious: registry data reflect near-complete (census-like) case ascertainment and are not subject to selective publication of significant results; funnel-plot / Egger assessment is not applicable.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Strength of association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Upgraded for a large magnitude of effect: +1 when IRR ≤ 0.50 or ≥ 2.00; +2 when IRR ≤ 0.20 or ≥ 5.00, provided residual bias is unlikely to account for it.</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Dose–response / confounding</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applied: these descriptive incidence studies do not assess an exposure gradient, and residual-confounding upgrades were not used.</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Scoring rules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Final certainty from the Low baseline: High (total score ≥ 2), Moderate (1), Low (0), Very low (≤ −1). Per-outcome scores are given in Table 7. Assessment is an AI-generated first pass for reviewer verification.</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7. GRADE certainty of evidence by outcome</w:t>
      </w:r>
    </w:p>
    <w:p>
      <w:pPr>
        <w:spacing w:after="80"/>
      </w:pPr>
      <w:r>
        <w:rPr>
          <w:rFonts w:ascii="Malgun Gothic" w:cs="Malgun Gothic" w:eastAsia="Malgun Gothic" w:hAnsi="Malgun Gothic"/>
          <w:i/>
          <w:iCs/>
          <w:sz w:val="18"/>
          <w:szCs w:val="18"/>
        </w:rPr>
        <w:t xml:space="preserve">Certainty derived with the framework in Table 6. RoB = Newcastle-Ottawa rating of the representative study (Table 5); +Large = large-magnitude upgrade (+1 if IRR ≤ 0.50 or ≥ 2.00; +2 if ≤ 0.20 or ≥ 5.00).</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749"/>
        <w:gridCol w:w="3273"/>
        <w:gridCol w:w="3142"/>
        <w:gridCol w:w="1571"/>
        <w:gridCol w:w="1440"/>
        <w:gridCol w:w="2225"/>
      </w:tblGrid>
      <w:tr>
        <w:trPr>
          <w:tblHeader/>
        </w:trPr>
        <w:tc>
          <w:tcPr>
            <w:tcW w:type="dxa" w:w="274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2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14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c>
          <w:tcPr>
            <w:tcW w:type="dxa" w:w="14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+Large</w:t>
            </w:r>
          </w:p>
        </w:tc>
        <w:tc>
          <w:tcPr>
            <w:tcW w:type="dxa" w:w="222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GRADE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NR</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8. Between-study heterogeneity and estimator comparison</w:t>
      </w:r>
    </w:p>
    <w:p>
      <w:pPr>
        <w:spacing w:after="80"/>
      </w:pPr>
      <w:r>
        <w:rPr>
          <w:rFonts w:ascii="Malgun Gothic" w:cs="Malgun Gothic" w:eastAsia="Malgun Gothic" w:hAnsi="Malgun Gothic"/>
          <w:i/>
          <w:iCs/>
          <w:sz w:val="18"/>
          <w:szCs w:val="18"/>
        </w:rPr>
        <w:t xml:space="preserve">Sensitivity = all overlapping estimates (Paule-Mandel + HKSJ); high I² reflects non-independent registry overlap. Main = one representative per family.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032"/>
        <w:gridCol w:w="2330"/>
        <w:gridCol w:w="598"/>
        <w:gridCol w:w="1793"/>
        <w:gridCol w:w="2988"/>
        <w:gridCol w:w="896"/>
        <w:gridCol w:w="1016"/>
        <w:gridCol w:w="2749"/>
      </w:tblGrid>
      <w:tr>
        <w:trPr>
          <w:tblHeader/>
        </w:trPr>
        <w:tc>
          <w:tcPr>
            <w:tcW w:type="dxa" w:w="203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33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59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179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Model</w:t>
            </w:r>
          </w:p>
        </w:tc>
        <w:tc>
          <w:tcPr>
            <w:tcW w:type="dxa" w:w="29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Sensitivity IRR (95% CI)</w:t>
            </w:r>
          </w:p>
        </w:tc>
        <w:tc>
          <w:tcPr>
            <w:tcW w:type="dxa" w:w="89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c>
          <w:tcPr>
            <w:tcW w:type="dxa" w:w="101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 p</w:t>
            </w:r>
          </w:p>
        </w:tc>
        <w:tc>
          <w:tcPr>
            <w:tcW w:type="dxa" w:w="274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(0.432-2.412)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0.078</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(0.258-6.919)</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93%</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(1.142-1.226)</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0.695 (0.603-0.802)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 (0.55-0.57)</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(0.724-0.878)</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(0.751-0.787)</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9</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(0.936-0.965)</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(0.92-0.946)</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(0.675-0.765)</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(0.706-0.73)</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0.766 (0.044-13.475)</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(0.937-0.979)</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(0.001-210.57)</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(0.654-0.701)</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1.252 (0.95-1.651)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0.290</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(1.123-1.305)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(0.814-3.533)</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(1.74-1.853)</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(0.286-2.02)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(0.805-0.836)</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(0.176-3.41)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(0.855-0.885)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(0.305-2.091)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(0.845-0.875)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(0.135-3.486)</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(0.765-0.795)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(0.539-2.124)</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79%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0.030</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(1.081-1.161)</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(0.133-4.731)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97%</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(0.88-0.941)</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0.712 (0.551-0.92)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90%</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(0.68-0.72)</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1.968 (1.815-2.134)</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84%</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 (1.925-1.975)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(0.746-1.034)</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89%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(0.84-0.88)</w:t>
            </w:r>
          </w:p>
        </w:tc>
      </w:tr>
    </w:tbl>
    <w:p>
      <w:pPr>
        <w:spacing w:after="80"/>
      </w:pPr>
    </w:p>
    <w:p>
      <w:pPr>
        <w:spacing w:after="80"/>
      </w:pPr>
      <w:r>
        <w:rPr>
          <w:rFonts w:ascii="Malgun Gothic" w:cs="Malgun Gothic" w:eastAsia="Malgun Gothic" w:hAnsi="Malgun Gothic"/>
          <w:i/>
          <w:iCs/>
          <w:sz w:val="18"/>
          <w:szCs w:val="18"/>
        </w:rPr>
        <w:t xml:space="preserve">k = number of overlapping estimates pooled. Model = random-effects for every cell (Paule-Mandel/REML τ² with a Hartung-Knapp-Sidik-Jonkman confidence interval); no fixed-effect model was used. Sensitivity IRR = all k estimates pooled. I² and Q p = the between-study heterogeneity of the all-included (sensitivity) pool; Q p is the p-value of Cochran's Q (χ² with k−1 df). The very high I² / small Q p here reflect repeated inclusion of non-independent, overlapping registry data rather than genuine between-study heterogeneity — which is why it is NOT treated as inconsistency in the GRADE framework (Table 6) and why the main analysis collapses to one representative per registry family. Main IRR = that single representative, which removes the non-independence. For cells with k &lt; 3 the HKSJ interval (t with k−1 df) is unstable and over-wide, so read the point estimate rather than the interval. Only cells with ≥ 2 overlapping estimates appear here.</w:t>
      </w:r>
    </w:p>
    <w:p>
      <w:pPr>
        <w:spacing w:after="80"/>
      </w:pPr>
      <w:r>
        <w:rPr>
          <w:rFonts w:ascii="Malgun Gothic" w:cs="Malgun Gothic" w:eastAsia="Malgun Gothic" w:hAnsi="Malgun Gothic"/>
          <w:i/>
          <w:iCs/>
          <w:sz w:val="18"/>
          <w:szCs w:val="18"/>
        </w:rPr>
        <w:t xml:space="preserve">Estimator comparison (τ² method and confidence-interval method) for every cell with ≥2 overlapping estimates. Cells marked * have k &lt; 3, where the Hartung-Knapp interval (t with k−1 df) is unstable; read the point estimate.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618"/>
        <w:gridCol w:w="655"/>
        <w:gridCol w:w="3164"/>
        <w:gridCol w:w="982"/>
        <w:gridCol w:w="3164"/>
        <w:gridCol w:w="982"/>
        <w:gridCol w:w="2073"/>
        <w:gridCol w:w="764"/>
      </w:tblGrid>
      <w:tr>
        <w:trPr>
          <w:tblHeader/>
        </w:trPr>
        <w:tc>
          <w:tcPr>
            <w:tcW w:type="dxa" w:w="261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65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DerSimonian-Laird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DL τ²</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Paule-Mandel / REML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 τ²</w:t>
            </w:r>
          </w:p>
        </w:tc>
        <w:tc>
          <w:tcPr>
            <w:tcW w:type="dxa" w:w="20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HKSJ 95% CI</w:t>
            </w:r>
          </w:p>
        </w:tc>
        <w:tc>
          <w:tcPr>
            <w:tcW w:type="dxa" w:w="7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0.695 (0.614-0.786)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0.0268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0.695 (0.620-0.779)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0.0229</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0.603-0.802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(0.743-0.856)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0.0077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(0.741-0.859)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0.0084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0.724-0.878</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(0.937-0.964)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(0.938-0.963)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0.936-0.965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(0.691-0.748)</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0.0028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(0.683-0.756)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0.0046</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0.675-0.765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0.714 (0.645-0.790)</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0.712 (0.634-0.801)</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0.0094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0.551-0.920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1.976 (1.912-2.042)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1.968 (1.872-2.069)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0.0023</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1.815-2.134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84%</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(0.818-0.944)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(0.815-0.946)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0.746-1.034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89%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0.432-2.412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(1.037-1.723)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0.0314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(1.037-1.723)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0.0314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0.258-6.919</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93%</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0.766 (0.492-1.192)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0.1009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0.766 (0.492-1.192)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0.1009</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0.044-13.475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(0.159-1.086)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0.4783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(0.159-1.086)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0.4783</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0.001-210.570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1.252 (1.200-1.307)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0.0001</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1.252 (1.200-1.307)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0.0001</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0.950-1.651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(1.514-1.899)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(1.514-1.899)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0.814-3.533</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(0.653-0.883)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(0.653-0.883)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0.286-2.020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(0.616-0.974)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0.0270</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(0.616-0.974)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0.0270</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0.176-3.410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(0.688-0.926)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(0.688-0.926)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0.0113</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0.305-2.091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(0.535-0.882)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0.0325</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(0.535-0.882)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0.0325</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0.135-3.486</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1.070 (0.962-1.189)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1.070 (0.962-1.189)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0.539-2.124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79%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(0.603-1.045)</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0.0382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(0.603-1.045)</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0.0382</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0.133-4.731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97%</w:t>
            </w:r>
          </w:p>
        </w:tc>
      </w:tr>
    </w:tbl>
    <w:p>
      <w:pPr>
        <w:spacing w:after="80"/>
      </w:pPr>
    </w:p>
    <w:p>
      <w:pPr>
        <w:spacing w:after="80"/>
      </w:pPr>
      <w:r>
        <w:rPr>
          <w:rFonts w:ascii="Malgun Gothic" w:cs="Malgun Gothic" w:eastAsia="Malgun Gothic" w:hAnsi="Malgun Gothic"/>
          <w:i/>
          <w:iCs/>
          <w:sz w:val="18"/>
          <w:szCs w:val="18"/>
        </w:rPr>
        <w:t xml:space="preserve">Across the four cells with ≥3 estimates (Black, Hispanic, Asian/Pacific Islander, American Indian/Alaska Native), the DerSimonian-Laird and Paule-Mandel/REML pooled IRRs differ by ≤0.001, and the Hartung-Knapp interval is wider than the z-based interval; the pooled estimate is therefore robust to the choice of τ² estimator and interval method. The main analysis nonetheless relies on one representative per registry family rather than these pooled values, because the estimates are not independent.</w:t>
      </w:r>
    </w:p>
    <w:p>
      <w:r>
        <w:br w:type="page"/>
      </w:r>
    </w:p>
    <w:p>
      <w:pPr>
        <w:pStyle w:val="Heading1"/>
        <w:spacing w:after="100" w:before="200"/>
      </w:pPr>
      <w:r>
        <w:rPr>
          <w:rFonts w:ascii="Malgun Gothic" w:cs="Malgun Gothic" w:eastAsia="Malgun Gothic" w:hAnsi="Malgun Gothic"/>
          <w:b/>
          <w:bCs/>
          <w:sz w:val="24"/>
          <w:szCs w:val="24"/>
        </w:rPr>
        <w:t xml:space="preserve">Supplementary Table 9. Sensitivity analyses</w:t>
      </w:r>
    </w:p>
    <w:p>
      <w:pPr>
        <w:spacing w:after="80"/>
      </w:pPr>
      <w:r>
        <w:rPr>
          <w:rFonts w:ascii="Malgun Gothic" w:cs="Malgun Gothic" w:eastAsia="Malgun Gothic" w:hAnsi="Malgun Gothic"/>
          <w:i w:val="false"/>
          <w:iCs w:val="false"/>
          <w:sz w:val="18"/>
          <w:szCs w:val="18"/>
        </w:rPr>
        <w:t xml:space="preserve">Table 9a. Good-RoB-only (Poor studies dropped): 82 of 90 cells unchanged, 1 changed, 7 dropped — all headline results unchanged.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9b. Directly-reported-only (computed estimates dropped): 51 unchanged, 5 changed, 34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(Good-RoB-only in Table 9a; author-reported IRR/SIR only in Table 9b). Status: unchanged = same study remains the representative; changed = a different study becomes the representative (its IRR is shown); dropped = no eligible estimate remained for that cell (Sens IRR = “–”). Only changed/dropped cells are listed; all others were unchanged, indicating the main results are robust.</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(for the Methods / Supplementary). Every estimate in</w:t>
      </w:r>
    </w:p>
    <w:p>
      <w:pPr>
        <w:spacing w:after="80"/>
      </w:pPr>
      <w:r>
        <w:rPr>
          <w:rFonts w:ascii="Malgun Gothic" w:cs="Malgun Gothic" w:eastAsia="Malgun Gothic" w:hAnsi="Malgun Gothic"/>
          <w:i w:val="false"/>
          <w:iCs w:val="false"/>
          <w:sz w:val="18"/>
          <w:szCs w:val="18"/>
        </w:rPr>
        <w:t xml:space="preserve">`breast_extraction.csv` whose IRR was not printed as-is by the study is</w:t>
      </w:r>
    </w:p>
    <w:p>
      <w:pPr>
        <w:spacing w:after="80"/>
      </w:pPr>
      <w:r>
        <w:rPr>
          <w:rFonts w:ascii="Malgun Gothic" w:cs="Malgun Gothic" w:eastAsia="Malgun Gothic" w:hAnsi="Malgun Gothic"/>
          <w:i w:val="false"/>
          <w:iCs w:val="false"/>
          <w:sz w:val="18"/>
          <w:szCs w:val="18"/>
        </w:rPr>
        <w:t xml:space="preserve">listed here with exactly how it was derived, so each is reproducible and</w:t>
      </w:r>
    </w:p>
    <w:p>
      <w:pPr>
        <w:spacing w:after="80"/>
      </w:pPr>
      <w:r>
        <w:rPr>
          <w:rFonts w:ascii="Malgun Gothic" w:cs="Malgun Gothic" w:eastAsia="Malgun Gothic" w:hAnsi="Malgun Gothic"/>
          <w:i w:val="false"/>
          <w:iCs w:val="false"/>
          <w:sz w:val="18"/>
          <w:szCs w:val="18"/>
        </w:rPr>
        <w:t xml:space="preserve">auditable. Rows whose `provenance` is `directly-reported-IRR` / `-SIR` are</w:t>
      </w:r>
    </w:p>
    <w:p>
      <w:pPr>
        <w:spacing w:after="80"/>
      </w:pPr>
      <w:r>
        <w:rPr>
          <w:rFonts w:ascii="Malgun Gothic" w:cs="Malgun Gothic" w:eastAsia="Malgun Gothic" w:hAnsi="Malgun Gothic"/>
          <w:i w:val="false"/>
          <w:iCs w:val="false"/>
          <w:sz w:val="18"/>
          <w:szCs w:val="18"/>
        </w:rPr>
        <w:t xml:space="preserve">taken verbatim from the paper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We age-standardized each race's 14 age-specific rates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(Fig 1 footnote points to it).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(Earlier this cell was carried as point-only;</w:t>
      </w:r>
    </w:p>
    <w:p>
      <w:pPr>
        <w:spacing w:after="80"/>
      </w:pPr>
      <w:r>
        <w:rPr>
          <w:rFonts w:ascii="Malgun Gothic" w:cs="Malgun Gothic" w:eastAsia="Malgun Gothic" w:hAnsi="Malgun Gothic"/>
          <w:i w:val="false"/>
          <w:iCs w:val="false"/>
          <w:sz w:val="18"/>
          <w:szCs w:val="18"/>
        </w:rPr>
        <w:t xml:space="preserve">• the rate CIs in Suppl Table 3 had been overlooked at extraction and are now</w:t>
      </w:r>
    </w:p>
    <w:p>
      <w:pPr>
        <w:spacing w:after="80"/>
      </w:pPr>
      <w:r>
        <w:rPr>
          <w:rFonts w:ascii="Malgun Gothic" w:cs="Malgun Gothic" w:eastAsia="Malgun Gothic" w:hAnsi="Malgun Gothic"/>
          <w:i w:val="false"/>
          <w:iCs w:val="false"/>
          <w:sz w:val="18"/>
          <w:szCs w:val="18"/>
        </w:rPr>
        <w:t xml:space="preserve">• propagated — e.g. TNBC Black 1.82 [1.70, 1.95], HR+/HER2− API 0.69</w:t>
      </w:r>
    </w:p>
    <w:p>
      <w:pPr>
        <w:spacing w:after="80"/>
      </w:pPr>
      <w:r>
        <w:rPr>
          <w:rFonts w:ascii="Malgun Gothic" w:cs="Malgun Gothic" w:eastAsia="Malgun Gothic" w:hAnsi="Malgun Gothic"/>
          <w:i w:val="false"/>
          <w:iCs w:val="false"/>
          <w:sz w:val="18"/>
          <w:szCs w:val="18"/>
        </w:rPr>
        <w:t xml:space="preserve">•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Complete lists (auto-generated from the ledger):</w:t>
      </w:r>
    </w:p>
    <w:p>
      <w:pPr>
        <w:spacing w:after="80"/>
      </w:pPr>
      <w:r>
        <w:rPr>
          <w:rFonts w:ascii="Malgun Gothic" w:cs="Malgun Gothic" w:eastAsia="Malgun Gothic" w:hAnsi="Malgun Gothic"/>
          <w:i w:val="false"/>
          <w:iCs w:val="false"/>
          <w:sz w:val="18"/>
          <w:szCs w:val="18"/>
        </w:rPr>
        <w:t xml:space="preserve">• with CI: Howlader 2014, Davis Lynn 2025, Gomez 2026, Ihenacho 2023, Xie 2022, Pinheiro 2009, Gomez 2003, Miller 2008.</w:t>
      </w:r>
    </w:p>
    <w:p>
      <w:pPr>
        <w:spacing w:after="80"/>
      </w:pPr>
      <w:r>
        <w:rPr>
          <w:rFonts w:ascii="Malgun Gothic" w:cs="Malgun Gothic" w:eastAsia="Malgun Gothic" w:hAnsi="Malgun Gothic"/>
          <w:i w:val="false"/>
          <w:iCs w:val="false"/>
          <w:sz w:val="18"/>
          <w:szCs w:val="18"/>
        </w:rPr>
        <w:t xml:space="preserve">• point only (no CI): Liu 2012, Anderson 2008, Keegan 2010, Richardson 2016, Lund 2010,</w:t>
      </w:r>
    </w:p>
    <w:p>
      <w:pPr>
        <w:spacing w:after="80"/>
      </w:pPr>
      <w:r>
        <w:rPr>
          <w:rFonts w:ascii="Malgun Gothic" w:cs="Malgun Gothic" w:eastAsia="Malgun Gothic" w:hAnsi="Malgun Gothic"/>
          <w:i w:val="false"/>
          <w:iCs w:val="false"/>
          <w:sz w:val="18"/>
          <w:szCs w:val="18"/>
        </w:rPr>
        <w:t xml:space="preserve">• Keegan 2007, Harper 2009, Gopalani 2020, McCracken 2007.</w:t>
      </w:r>
    </w:p>
    <w:p>
      <w:pPr>
        <w:spacing w:after="80"/>
      </w:pPr>
      <w:r>
        <w:rPr>
          <w:rFonts w:ascii="Malgun Gothic" w:cs="Malgun Gothic" w:eastAsia="Malgun Gothic" w:hAnsi="Malgun Gothic"/>
          <w:i w:val="false"/>
          <w:iCs w:val="false"/>
          <w:sz w:val="18"/>
          <w:szCs w:val="18"/>
        </w:rPr>
        <w:t xml:space="preserve">• Elaborated elsewhere: (§1), Gomez 2026 &amp; (§4).</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IRR still comparable (ratio),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 no ratio CI.</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 Brinton 2008, 182. No ratio CI printed but case counts are. SE(logIRR) =</w:t>
      </w:r>
    </w:p>
    <w:p>
      <w:pPr>
        <w:spacing w:after="80"/>
      </w:pPr>
      <w:r>
        <w:rPr>
          <w:rFonts w:ascii="Malgun Gothic" w:cs="Malgun Gothic" w:eastAsia="Malgun Gothic" w:hAnsi="Malgun Gothic"/>
          <w:i w:val="false"/>
          <w:iCs w:val="false"/>
          <w:sz w:val="18"/>
          <w:szCs w:val="18"/>
        </w:rPr>
        <w:t xml:space="preserve">• sqrt(1/D_min + 1/D_nhw) (D = cases); provenance `computed-from-rates-Poisson-SE`.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 Lowest AANHPI subgroup.</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(uses the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 (An earlier pass overlooked eTable 3 and paired an</w:t>
      </w:r>
    </w:p>
    <w:p>
      <w:pPr>
        <w:spacing w:after="80"/>
      </w:pPr>
      <w:r>
        <w:rPr>
          <w:rFonts w:ascii="Malgun Gothic" w:cs="Malgun Gothic" w:eastAsia="Malgun Gothic" w:hAnsi="Malgun Gothic"/>
          <w:i w:val="false"/>
          <w:iCs w:val="false"/>
          <w:sz w:val="18"/>
          <w:szCs w:val="18"/>
        </w:rPr>
        <w:t xml:space="preserve">• external SEER-Explorer NHW of 140.3; using the paper's own NHW is</w:t>
      </w:r>
    </w:p>
    <w:p>
      <w:pPr>
        <w:spacing w:after="80"/>
      </w:pPr>
      <w:r>
        <w:rPr>
          <w:rFonts w:ascii="Malgun Gothic" w:cs="Malgun Gothic" w:eastAsia="Malgun Gothic" w:hAnsi="Malgun Gothic"/>
          <w:i w:val="false"/>
          <w:iCs w:val="false"/>
          <w:sz w:val="18"/>
          <w:szCs w:val="18"/>
        </w:rPr>
        <w:t xml:space="preserve">• registry/period/standard-consistent and shifts IRRs by &lt;1%.)</w:t>
      </w:r>
    </w:p>
    <w:p>
      <w:pPr>
        <w:spacing w:after="80"/>
      </w:pPr>
      <w:r>
        <w:rPr>
          <w:rFonts w:ascii="Malgun Gothic" w:cs="Malgun Gothic" w:eastAsia="Malgun Gothic" w:hAnsi="Malgun Gothic"/>
          <w:i w:val="false"/>
          <w:iCs w:val="false"/>
          <w:sz w:val="18"/>
          <w:szCs w:val="18"/>
        </w:rPr>
        <w:t xml:space="preserve">• (Pinheiro 2009). Table gives origin rates + rounded IR ratios but</w:t>
      </w:r>
    </w:p>
    <w:p>
      <w:pPr>
        <w:spacing w:after="80"/>
      </w:pPr>
      <w:r>
        <w:rPr>
          <w:rFonts w:ascii="Malgun Gothic" w:cs="Malgun Gothic" w:eastAsia="Malgun Gothic" w:hAnsi="Malgun Gothic"/>
          <w:i w:val="false"/>
          <w:iCs w:val="false"/>
          <w:sz w:val="18"/>
          <w:szCs w:val="18"/>
        </w:rPr>
        <w:t xml:space="preserve">• not the NHW-FL rate; NHW-FL ≈ 143 (2000 US std) was back-derived so computed</w:t>
      </w:r>
    </w:p>
    <w:p>
      <w:pPr>
        <w:spacing w:after="80"/>
      </w:pPr>
      <w:r>
        <w:rPr>
          <w:rFonts w:ascii="Malgun Gothic" w:cs="Malgun Gothic" w:eastAsia="Malgun Gothic" w:hAnsi="Malgun Gothic"/>
          <w:i w:val="false"/>
          <w:iCs w:val="false"/>
          <w:sz w:val="18"/>
          <w:szCs w:val="18"/>
        </w:rPr>
        <w:t xml:space="preserve">• IRRs reproduce the authors' rounded ratios (0.8/0.5/0.8/0.7) — flagged to</w:t>
      </w:r>
    </w:p>
    <w:p>
      <w:pPr>
        <w:spacing w:after="80"/>
      </w:pPr>
      <w:r>
        <w:rPr>
          <w:rFonts w:ascii="Malgun Gothic" w:cs="Malgun Gothic" w:eastAsia="Malgun Gothic" w:hAnsi="Malgun Gothic"/>
          <w:i w:val="false"/>
          <w:iCs w:val="false"/>
          <w:sz w:val="18"/>
          <w:szCs w:val="18"/>
        </w:rPr>
        <w:t xml:space="preserve">• refine if the exact NHW is obtained.</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NOTE: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in-paper US White; Nash 2019 is the</w:t>
      </w:r>
    </w:p>
    <w:p>
      <w:pPr>
        <w:spacing w:after="80"/>
      </w:pPr>
      <w:r>
        <w:rPr>
          <w:rFonts w:ascii="Malgun Gothic" w:cs="Malgun Gothic" w:eastAsia="Malgun Gothic" w:hAnsi="Malgun Gothic"/>
          <w:i w:val="false"/>
          <w:iCs w:val="false"/>
          <w:sz w:val="18"/>
          <w:szCs w:val="18"/>
        </w:rPr>
        <w:t xml:space="preserve">• cell representative, Nash 2022 is a sensitivity/overlap estimate (its 0.95 vs</w:t>
      </w:r>
    </w:p>
    <w:p>
      <w:pPr>
        <w:spacing w:after="80"/>
      </w:pPr>
      <w:r>
        <w:rPr>
          <w:rFonts w:ascii="Malgun Gothic" w:cs="Malgun Gothic" w:eastAsia="Malgun Gothic" w:hAnsi="Malgun Gothic"/>
          <w:i w:val="false"/>
          <w:iCs w:val="false"/>
          <w:sz w:val="18"/>
          <w:szCs w:val="18"/>
        </w:rPr>
        <w:t xml:space="preserve">• Nash 2019's 1.09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0.0216 -&gt;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5b.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New MENA analytic cell.</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 CONTAMINATION NOTE: the</w:t>
      </w:r>
    </w:p>
    <w:p>
      <w:pPr>
        <w:spacing w:after="80"/>
      </w:pPr>
      <w:r>
        <w:rPr>
          <w:rFonts w:ascii="Malgun Gothic" w:cs="Malgun Gothic" w:eastAsia="Malgun Gothic" w:hAnsi="Malgun Gothic"/>
          <w:i w:val="false"/>
          <w:iCs w:val="false"/>
          <w:sz w:val="18"/>
          <w:szCs w:val="18"/>
        </w:rPr>
        <w:t xml:space="preserve">• uploaded 461.pdf is byte-for-byte this Goggins paper (mis-named); the SIR was</w:t>
      </w:r>
    </w:p>
    <w:p>
      <w:pPr>
        <w:spacing w:after="80"/>
      </w:pPr>
      <w:r>
        <w:rPr>
          <w:rFonts w:ascii="Malgun Gothic" w:cs="Malgun Gothic" w:eastAsia="Malgun Gothic" w:hAnsi="Malgun Gothic"/>
          <w:i w:val="false"/>
          <w:iCs w:val="false"/>
          <w:sz w:val="18"/>
          <w:szCs w:val="18"/>
        </w:rPr>
        <w:t xml:space="preserve">• attributed to its correct record (955), NOT to (Northern Plains AI/AN),</w:t>
      </w:r>
    </w:p>
    <w:p>
      <w:pPr>
        <w:spacing w:after="80"/>
      </w:pPr>
      <w:r>
        <w:rPr>
          <w:rFonts w:ascii="Malgun Gothic" w:cs="Malgun Gothic" w:eastAsia="Malgun Gothic" w:hAnsi="Malgun Gothic"/>
          <w:i w:val="false"/>
          <w:iCs w:val="false"/>
          <w:sz w:val="18"/>
          <w:szCs w:val="18"/>
        </w:rPr>
        <w:t xml:space="preserve">• whose correct full text is still unavailable (deferred).</w:t>
      </w:r>
    </w:p>
    <w:p>
      <w:pPr>
        <w:pStyle w:val="Heading2"/>
        <w:spacing w:after="100" w:before="200"/>
      </w:pPr>
      <w:r>
        <w:rPr>
          <w:rFonts w:ascii="Malgun Gothic" w:cs="Malgun Gothic" w:eastAsia="Malgun Gothic" w:hAnsi="Malgun Gothic"/>
          <w:b/>
          <w:bCs/>
          <w:sz w:val="20"/>
          <w:szCs w:val="20"/>
        </w:rPr>
        <w:t xml:space="preserve">Contamination / mis-classification catches (this extraction pass)</w:t>
      </w:r>
    </w:p>
    <w:p>
      <w:pPr>
        <w:spacing w:after="80"/>
      </w:pPr>
      <w:r>
        <w:rPr>
          <w:rFonts w:ascii="Malgun Gothic" w:cs="Malgun Gothic" w:eastAsia="Malgun Gothic" w:hAnsi="Malgun Gothic"/>
          <w:i w:val="false"/>
          <w:iCs w:val="false"/>
          <w:sz w:val="18"/>
          <w:szCs w:val="18"/>
        </w:rPr>
        <w:t xml:space="preserve">• the npj Breast Cancer 2026 mortality study flattened numbers looked like subtype IRRs but rendering showed</w:t>
      </w:r>
    </w:p>
    <w:p>
      <w:pPr>
        <w:spacing w:after="80"/>
      </w:pPr>
      <w:r>
        <w:rPr>
          <w:rFonts w:ascii="Malgun Gothic" w:cs="Malgun Gothic" w:eastAsia="Malgun Gothic" w:hAnsi="Malgun Gothic"/>
          <w:i w:val="false"/>
          <w:iCs w:val="false"/>
          <w:sz w:val="18"/>
          <w:szCs w:val="18"/>
        </w:rPr>
        <w:t xml:space="preserve">• they are mortality HAZARD RATIOS (Cox models) — demoted (not incidence).</w:t>
      </w:r>
    </w:p>
    <w:p>
      <w:pPr>
        <w:spacing w:after="80"/>
      </w:pPr>
      <w:r>
        <w:rPr>
          <w:rFonts w:ascii="Malgun Gothic" w:cs="Malgun Gothic" w:eastAsia="Malgun Gothic" w:hAnsi="Malgun Gothic"/>
          <w:i w:val="false"/>
          <w:iCs w:val="false"/>
          <w:sz w:val="18"/>
          <w:szCs w:val="18"/>
        </w:rPr>
        <w:t xml:space="preserve">• (Hmong-Minnesota) comparator is "All Minnesotans"/API (total</w:t>
      </w:r>
    </w:p>
    <w:p>
      <w:pPr>
        <w:spacing w:after="80"/>
      </w:pPr>
      <w:r>
        <w:rPr>
          <w:rFonts w:ascii="Malgun Gothic" w:cs="Malgun Gothic" w:eastAsia="Malgun Gothic" w:hAnsi="Malgun Gothic"/>
          <w:i w:val="false"/>
          <w:iCs w:val="false"/>
          <w:sz w:val="18"/>
          <w:szCs w:val="18"/>
        </w:rPr>
        <w:t xml:space="preserve">• population, both sexes), not NHW women — demoted (incomparable; the clean</w:t>
      </w:r>
    </w:p>
    <w:p>
      <w:pPr>
        <w:spacing w:after="80"/>
      </w:pPr>
      <w:r>
        <w:rPr>
          <w:rFonts w:ascii="Malgun Gothic" w:cs="Malgun Gothic" w:eastAsia="Malgun Gothic" w:hAnsi="Malgun Gothic"/>
          <w:i w:val="false"/>
          <w:iCs w:val="false"/>
          <w:sz w:val="18"/>
          <w:szCs w:val="18"/>
        </w:rPr>
        <w:t xml:space="preserve">• Hmong-vs-NHW female estimate comes from Mills 2005 instead).</w:t>
      </w:r>
    </w:p>
    <w:p>
      <w:pPr>
        <w:spacing w:after="80"/>
      </w:pPr>
      <w:r>
        <w:rPr>
          <w:rFonts w:ascii="Malgun Gothic" w:cs="Malgun Gothic" w:eastAsia="Malgun Gothic" w:hAnsi="Malgun Gothic"/>
          <w:i w:val="false"/>
          <w:iCs w:val="false"/>
          <w:sz w:val="18"/>
          <w:szCs w:val="18"/>
        </w:rPr>
        <w:t xml:space="preserve">• the Northern Plains AI/AN study, Goggins 2009 PDF mis-filing resolved as above.</w:t>
      </w:r>
    </w:p>
    <w:p>
      <w:pPr>
        <w:pStyle w:val="Heading2"/>
        <w:spacing w:after="100" w:before="200"/>
      </w:pPr>
      <w:r>
        <w:rPr>
          <w:rFonts w:ascii="Malgun Gothic" w:cs="Malgun Gothic" w:eastAsia="Malgun Gothic" w:hAnsi="Malgun Gothic"/>
          <w:b/>
          <w:bCs/>
          <w:sz w:val="20"/>
          <w:szCs w:val="20"/>
        </w:rPr>
        <w:t xml:space="preserve">5.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 taken as-is. The overall Black</w:t>
      </w:r>
    </w:p>
    <w:p>
      <w:pPr>
        <w:spacing w:after="80"/>
      </w:pPr>
      <w:r>
        <w:rPr>
          <w:rFonts w:ascii="Malgun Gothic" w:cs="Malgun Gothic" w:eastAsia="Malgun Gothic" w:hAnsi="Malgun Gothic"/>
          <w:i w:val="false"/>
          <w:iCs w:val="false"/>
          <w:sz w:val="18"/>
          <w:szCs w:val="18"/>
        </w:rPr>
        <w:t xml:space="preserve">• statement is printed NHW-vs-Black (1.04) → would invert to 0.96; left unrecorded</w:t>
      </w:r>
    </w:p>
    <w:p>
      <w:pPr>
        <w:spacing w:after="80"/>
      </w:pPr>
      <w:r>
        <w:rPr>
          <w:rFonts w:ascii="Malgun Gothic" w:cs="Malgun Gothic" w:eastAsia="Malgun Gothic" w:hAnsi="Malgun Gothic"/>
          <w:i w:val="false"/>
          <w:iCs w:val="false"/>
          <w:sz w:val="18"/>
          <w:szCs w:val="18"/>
        </w:rPr>
        <w:t xml:space="preserve">• as ambiguous.</w:t>
      </w:r>
    </w:p>
    <w:p>
      <w:pPr>
        <w:pStyle w:val="Heading2"/>
        <w:spacing w:after="100" w:before="200"/>
      </w:pPr>
      <w:r>
        <w:rPr>
          <w:rFonts w:ascii="Malgun Gothic" w:cs="Malgun Gothic" w:eastAsia="Malgun Gothic" w:hAnsi="Malgun Gothic"/>
          <w:b/>
          <w:bCs/>
          <w:sz w:val="20"/>
          <w:szCs w:val="20"/>
        </w:rPr>
        <w:t xml:space="preserve">Open item</w:t>
      </w:r>
    </w:p>
    <w:p>
      <w:pPr>
        <w:spacing w:after="80"/>
      </w:pPr>
      <w:r>
        <w:rPr>
          <w:rFonts w:ascii="Malgun Gothic" w:cs="Malgun Gothic" w:eastAsia="Malgun Gothic" w:hAnsi="Malgun Gothic"/>
          <w:i w:val="false"/>
          <w:iCs w:val="false"/>
          <w:sz w:val="18"/>
          <w:szCs w:val="18"/>
        </w:rPr>
        <w:t xml:space="preserve">• CIs are missing for the Howlader 2014 age-standardized IRRs and for a few rate-only</w:t>
      </w:r>
    </w:p>
    <w:p>
      <w:pPr>
        <w:spacing w:after="80"/>
      </w:pPr>
      <w:r>
        <w:rPr>
          <w:rFonts w:ascii="Malgun Gothic" w:cs="Malgun Gothic" w:eastAsia="Malgun Gothic" w:hAnsi="Malgun Gothic"/>
          <w:i w:val="false"/>
          <w:iCs w:val="false"/>
          <w:sz w:val="18"/>
          <w:szCs w:val="18"/>
        </w:rPr>
        <w:t xml:space="preserve">• rows (McCracken 2007, 100, 381). These enter the MAIN forest as point estimates and</w:t>
      </w:r>
    </w:p>
    <w:p>
      <w:pPr>
        <w:spacing w:after="80"/>
      </w:pPr>
      <w:r>
        <w:rPr>
          <w:rFonts w:ascii="Malgun Gothic" w:cs="Malgun Gothic" w:eastAsia="Malgun Gothic" w:hAnsi="Malgun Gothic"/>
          <w:i w:val="false"/>
          <w:iCs w:val="false"/>
          <w:sz w:val="18"/>
          <w:szCs w:val="18"/>
        </w:rPr>
        <w:t xml:space="preserve">• the sensitivity/precision-weighted pooling notes this. If exact CIs or case</w:t>
      </w:r>
    </w:p>
    <w:p>
      <w:pPr>
        <w:spacing w:after="80"/>
      </w:pPr>
      <w:r>
        <w:rPr>
          <w:rFonts w:ascii="Malgun Gothic" w:cs="Malgun Gothic" w:eastAsia="Malgun Gothic" w:hAnsi="Malgun Gothic"/>
          <w:i w:val="false"/>
          <w:iCs w:val="false"/>
          <w:sz w:val="18"/>
          <w:szCs w:val="18"/>
        </w:rPr>
        <w:t xml:space="preserve">• counts are later obtained, upgrade provenance and add CIs.</w:t>
      </w:r>
    </w:p>
    <w:p>
      <w:r>
        <w:br w:type="page"/>
      </w:r>
    </w:p>
    <w:p>
      <w:pPr>
        <w:sectPr>
          <w:pgSz w:w="15840" w:h="12240" w:orient="landscape"/>
          <w:pgMar w:top="720" w:right="720" w:bottom="720" w:left="720" w:header="708" w:footer="708" w:gutter="0"/>
          <w:pgNumType/>
          <w:docGrid w:linePitch="360"/>
        </w:sectPr>
      </w:pPr>
    </w:p>
    <w:p>
      <w:pPr>
        <w:pStyle w:val="Heading1"/>
        <w:spacing w:after="100" w:before="200"/>
      </w:pPr>
      <w:r>
        <w:rPr>
          <w:rFonts w:ascii="Malgun Gothic" w:cs="Malgun Gothic" w:eastAsia="Malgun Gothic" w:hAnsi="Malgun Gothic"/>
          <w:b/>
          <w:bCs/>
          <w:sz w:val="24"/>
          <w:szCs w:val="24"/>
        </w:rPr>
        <w:t xml:space="preserve">Supplementary Figure 1. Pooled forest plots — aggregate racial/ethnic groups</w:t>
      </w:r>
    </w:p>
    <w:p>
      <w:pPr>
        <w:spacing w:after="80"/>
      </w:pPr>
      <w:r>
        <w:rPr>
          <w:rFonts w:ascii="Malgun Gothic" w:cs="Malgun Gothic" w:eastAsia="Malgun Gothic" w:hAnsi="Malgun Gothic"/>
          <w:i/>
          <w:iCs/>
          <w:sz w:val="18"/>
          <w:szCs w:val="18"/>
        </w:rPr>
        <w:t xml:space="preserve">Every contributing study per group with the random-effects pooled diamond (Paule-Mandel/REML + Hartung-Knapp) and I². The high I² reflects non-independent overlapping registry data (all-included / sensitivity pooling); the main analysis instead uses one representative per registry family (Table 4).</w:t>
      </w:r>
    </w:p>
    <w:p>
      <w:pPr>
        <w:jc w:val="center"/>
      </w:pPr>
      <w:r>
        <w:drawing>
          <wp:inline distT="0" distB="0" distL="0" distR="0">
            <wp:extent cx="5734050" cy="838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34050" cy="838200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2. Pooled forest plots — triple-negative breast cancer</w:t>
      </w:r>
    </w:p>
    <w:p>
      <w:pPr>
        <w:jc w:val="center"/>
      </w:pPr>
      <w:r>
        <w:drawing>
          <wp:inline distT="0" distB="0" distL="0" distR="0">
            <wp:extent cx="6477000" cy="443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0" cy="44386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3. Pooled forest plots — disaggregated subgroups with ≥2 studies</w:t>
      </w:r>
    </w:p>
    <w:p>
      <w:pPr>
        <w:jc w:val="center"/>
      </w:pPr>
      <w:r>
        <w:drawing>
          <wp:inline distT="0" distB="0" distL="0" distR="0">
            <wp:extent cx="6477000" cy="562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0" cy="5629275"/>
                    </a:xfrm>
                    <a:prstGeom prst="rect">
                      <a:avLst/>
                    </a:prstGeom>
                  </pic:spPr>
                </pic:pic>
              </a:graphicData>
            </a:graphic>
          </wp:inline>
        </w:drawing>
      </w:r>
    </w:p>
    <w:p>
      <w:pPr>
        <w:spacing w:after="80"/>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cd52e56431f6c566a74049906847fff298e04de.png"/><Relationship Id="rId8" Type="http://schemas.openxmlformats.org/officeDocument/2006/relationships/image" Target="media/ce733517712e4363cffe22202b140ab6a4e17c04.png"/><Relationship Id="rId9" Type="http://schemas.openxmlformats.org/officeDocument/2006/relationships/image" Target="media/a0ac2071944871291c8f9553127667b80a1d18e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2026-08-16T04:05:47.691Z</dcterms:created>
  <dcterms:modified xsi:type="dcterms:W3CDTF">2026-08-16T04:05:47.691Z</dcterms:modified>
</cp:coreProperties>
</file>

<file path=docProps/custom.xml><?xml version="1.0" encoding="utf-8"?>
<Properties xmlns="http://schemas.openxmlformats.org/officeDocument/2006/custom-properties" xmlns:vt="http://schemas.openxmlformats.org/officeDocument/2006/docPropsVTypes"/>
</file>