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set—162 studies—and the excluded set. The model-excluded records were re-screened with an explicit keyword filter that retained a record only when its title or full abstract co-mentioned all five of: breast cancer; an incidence-rate signal (an age-standardized or age-adjusted rate, an incidence rate ratio, a standardized incidence ratio, or a count per 100,000); a race or ethnicity term; a U.S.-context term; and a cancer-registry or population-based term; obvious non-U.S., male-only, and international-comparison records were removed, leaving 183 candidates that were each read at full abstract. The re-screen recovered 14 wrongly excluded reports—six added to the quantitative synthesis as single-state, regional, or disaggregated overlaps and eight to the narrative synthesis—with each recovered report's overlap-versus-duplicate status judged from its full text, never from the abstract. Of the 176 studies included in the review, 162 therefore came from the primary screen and 14 from the re-screen.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219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c4e27b0248769a0113ef335befbe216a5c0448.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2026-09-16T08:37:32.298Z</dcterms:created>
  <dcterms:modified xsi:type="dcterms:W3CDTF">2026-09-16T08:37:32.298Z</dcterms:modified>
</cp:coreProperties>
</file>

<file path=docProps/custom.xml><?xml version="1.0" encoding="utf-8"?>
<Properties xmlns="http://schemas.openxmlformats.org/officeDocument/2006/custom-properties" xmlns:vt="http://schemas.openxmlformats.org/officeDocument/2006/docPropsVTypes"/>
</file>