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 Because an abstract was available for 99% of records, the whole excluded set was then re-screened at the abstract level: each record's title and abstract were signature-scored for the eligibility profile and the highest-scoring candidates were read in full.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213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2–9,11–12,15–52</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60 of 85 cell representatives unchanged, with the 13 changed and 12 dropped cells falling mainly among the disaggregated AANHPI subgroups and, in smaller numbers, the receptor-subtype, age-specific, and Middle Eastern cells; restricting to directly reported estimates left 35 unchanged (5 changed, 45 dropped); restricting to NHW-comparator estimates left 66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SEER-21 period;</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21</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10,36,40,44</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2,20</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49</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color w:val="000000"/>
          <w:sz w:val="24"/>
          <w:szCs w:val="24"/>
          <w:vertAlign w:val="superscript"/>
        </w:rPr>
        <w:t xml:space="preserve">10,44</w:t>
      </w:r>
      <w:r>
        <w:rPr>
          <w:rFonts w:ascii="Times New Roman" w:cs="Times New Roman" w:eastAsia="Times New Roman" w:hAnsi="Times New Roman"/>
          <w:color w:val="000000"/>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34,48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2,29</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color w:val="000000"/>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color w:val="000000"/>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color w:val="000000"/>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color w:val="000000"/>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color w:val="000000"/>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color w:val="000000"/>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color w:val="000000"/>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a830d148e42bdfb177f1c79a09f0ec3734f75f.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2026-09-14T10:32:41.497Z</dcterms:created>
  <dcterms:modified xsi:type="dcterms:W3CDTF">2026-09-14T10:32:41.498Z</dcterms:modified>
</cp:coreProperties>
</file>

<file path=docProps/custom.xml><?xml version="1.0" encoding="utf-8"?>
<Properties xmlns="http://schemas.openxmlformats.org/officeDocument/2006/custom-properties" xmlns:vt="http://schemas.openxmlformats.org/officeDocument/2006/docPropsVTypes"/>
</file>