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Because the search export carried an abstract for 99% of records, the entire excluded pool was then re-screened at the abstract level: each record's title and abstract were signature-scored for the eligibility profile — invasive female breast cancer, a U.S. population-based registry, an incidence rate or ratio, and a race-or-ethnicity comparison against White — with etiology, risk-factor, survival, staging-only, in-situ, treatment, cohort, international, and review designs down-weighted, and the abstracts of the highest-scoring candidates were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abstract-level re-screen of the whole excluded pool two more; beyond these three it recovered no further eligible primary study — the one additional population-based race-versus-White breast-incidence report identified (Delta-region subtype incidence rate ratios) duplicated a region already represented and added no cell. The residual false-negative rate is thus small but non-zero, and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2026-09-14T10:32:40.668Z</dcterms:created>
  <dcterms:modified xsi:type="dcterms:W3CDTF">2026-09-14T10:32:40.669Z</dcterms:modified>
</cp:coreProperties>
</file>

<file path=docProps/custom.xml><?xml version="1.0" encoding="utf-8"?>
<Properties xmlns="http://schemas.openxmlformats.org/officeDocument/2006/custom-properties" xmlns:vt="http://schemas.openxmlformats.org/officeDocument/2006/docPropsVTypes"/>
</file>