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in the “Std pop” column.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Of 43 studies assessed, 40 were Good and 3 Poor; the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Good-RoB-only (Poor studies dropped): 79 of 85 cells unchanged, 2 changed, 4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2026-08-18T05:52:57.273Z</dcterms:created>
  <dcterms:modified xsi:type="dcterms:W3CDTF">2026-08-18T05:52:57.274Z</dcterms:modified>
</cp:coreProperties>
</file>

<file path=docProps/custom.xml><?xml version="1.0" encoding="utf-8"?>
<Properties xmlns="http://schemas.openxmlformats.org/officeDocument/2006/custom-properties" xmlns:vt="http://schemas.openxmlformats.org/officeDocument/2006/docPropsVTypes"/>
</file>