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10</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sole estimate in the cell); overlap for 10</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records, for each study, whether quantitative data were extractable and how the study was used, with the reason it was or was not selected as a cell representative: “Representative for N cell(s)” = supplied the main-analysis benchmark for N analytic cells (group × dimension), with the selection basis in parentheses (sole estimate in the cell, or best in the cell by coverage/recency/comparator); “overlap for M” = also contributed M overlapping estimates carried only in the sensitivity re-selection; “Overlap/sensitivity only” = every estimate overlapped a cell already represented by another study, followed by why it was not selected (superseded within its registry family by a broader-coverage or more-recent representative; an unlinked registry outranked by an IHS-linked source for AI/AN; an external out-of-paper NHW reference; or no usable rate ratio); “Narrative only” = met inclusion but contributed no quantitative estimate, with the reason given per study — no recoverable NHW comparison (most), a race–NHW breast IRR reported only as an annual trend (not a single poolable estimate), or a summary report re-reporting registry incidence already quantified from a dedicated primary study for the same registry and period. One representative is selected per analytic cell (selection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62 of 83 cells unchanged, 11 changed, 10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31 unchanged, 5 changed, 47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64 of 83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(Feedback4 #4):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The large-language-model title and abstract screening was audited for false negatives — eligible studies wrongly excluded — because the records were screened by a single reviewer with model assistance rather than by two independent reviewers.</w:t>
      </w:r>
    </w:p>
    <w:p>
      <w:pPr>
        <w:spacing w:after="80"/>
      </w:pPr>
      <w:r>
        <w:rPr>
          <w:rFonts w:ascii="Malgun Gothic" w:cs="Malgun Gothic" w:eastAsia="Malgun Gothic" w:hAnsi="Malgun Gothic"/>
          <w:i/>
          <w:iCs/>
          <w:sz w:val="18"/>
          <w:szCs w:val="18"/>
        </w:rPr>
        <w:t xml:space="preserve">Method. From the records the model excluded, a random sample of 200 was drawn (Python random.seed(42)) and every title and its recorded exclusion reason was read; the 16 whose eligibility could not be settled from the title were read at the abstract level against the eligibility criteria. Because a sampled miss implies others, the full excluded set (4,551 records) was then scanned for the same signature — breast cancer, an incidence or rate term, a race or ethnicity term, and a U.S. registry or population term, minus obvious-exclusion markers (non-U.S., mortality or survival, treatment, genetic, risk-factor, male or transgender, review) — and the flagged records were reviewed against their recorded exclusion reasons, with the strongest content matches read in full.</w:t>
      </w:r>
    </w:p>
    <w:p>
      <w:pPr>
        <w:spacing w:after="80"/>
      </w:pPr>
      <w:r>
        <w:rPr>
          <w:rFonts w:ascii="Malgun Gothic" w:cs="Malgun Gothic" w:eastAsia="Malgun Gothic" w:hAnsi="Malgun Gothic"/>
          <w:i/>
          <w:iCs/>
          <w:sz w:val="18"/>
          <w:szCs w:val="18"/>
        </w:rPr>
        <w:t xml:space="preserve">Result. Three wrongly excluded studies were confirmed, each a neighborhood-, segregation-, or redlining-focused report whose headline exposure is not race but which carries a secondary race-specific, age-standardized breast-incidence table: a Louisiana Tumor Registry triple-negative study (Black versus an unstratified White reference, rate ratio 2.21, 95% CI 1.96–2.48), and two Massachusetts Cancer Registry reports (Krieger 2018; Wright 2022) giving age-standardized incidence by race, from which IRRs versus NHW were computed by the delta method. All three were added to the quantitative synthesis as single-state or regional overlaps of the national representatives, and none changed a cell representative.</w:t>
      </w:r>
    </w:p>
    <w:p>
      <w:pPr>
        <w:spacing w:after="80"/>
      </w:pPr>
      <w:r>
        <w:rPr>
          <w:rFonts w:ascii="Malgun Gothic" w:cs="Malgun Gothic" w:eastAsia="Malgun Gothic" w:hAnsi="Malgun Gothic"/>
          <w:i/>
          <w:iCs/>
          <w:sz w:val="18"/>
          <w:szCs w:val="18"/>
        </w:rPr>
        <w:t xml:space="preserve">Boundary cases. Not every neighborhood or socioeconomic report qualifies. A SEER inflammatory-breast-cancer study (Schairer 2012) reports incidence by race but for a morphological subtype outside the receptor-defined quantitative cells, so it was added to the narrative synthesis. Two socioeconomic-gradient studies (Akinyemiju 2015; Hernandez 2025) were confirmed correctly excluded because each reports incidence only by socioeconomic stratum — within each race, or within a single race — with no race-versus-White rate table. The recurring false-negative pattern is thus a segregation- or neighborhood-focused study that nonetheless tabulates race-specific incidence; a few more of that kind may remain, and any would be regional sensitivity overlaps that do not change a representative.</w:t>
      </w:r>
    </w:p>
    <w:p>
      <w:pPr>
        <w:spacing w:after="80"/>
      </w:pPr>
      <w:r>
        <w:rPr>
          <w:rFonts w:ascii="Malgun Gothic" w:cs="Malgun Gothic" w:eastAsia="Malgun Gothic" w:hAnsi="Malgun Gothic"/>
          <w:i/>
          <w:iCs/>
          <w:sz w:val="18"/>
          <w:szCs w:val="18"/>
        </w:rPr>
        <w:t xml:space="preserve">Conclusion. The 200-record sample yielded one eligible study (about 0.5%) and the full-pool scan two more, indicating a small but non-zero residual false-negative rate. Single-reviewer screening with model assistance is a limitation, recorded in the Discussion.</w:t>
      </w:r>
    </w:p>
    <w:p>
      <w:pPr>
        <w:spacing w:after="80"/>
      </w:pPr>
      <w:r>
        <w:rPr>
          <w:rFonts w:ascii="Malgun Gothic" w:cs="Malgun Gothic" w:eastAsia="Malgun Gothic" w:hAnsi="Malgun Gothic"/>
          <w:i/>
          <w:iCs/>
          <w:sz w:val="18"/>
          <w:szCs w:val="18"/>
        </w:rPr>
        <w:t xml:space="preserve">Omissions found on re-verification. Two rounds of source re-verification, which rendered the source tables of the quantitative reports as page images rather than relying on extracted text alone, also recovered extractable data missed on first pass, all among included reports: six overlapping-registry reports initially deferred were extracted into the sensitivity pool, and four reports first placed in the narrative set were moved to the quantitative synthesis after their image-only tables were read — two national USCS studies giving age-adjusted IRRs versus NHW women for ages 20–49 and 65 and older, a seven-state Delta-region study giving age-adjusted subtype IRRs versus NHW women, and a SEER study giving age-adjusted rates by race from which the NHW comparison was recomputed. All four contributed overlapping or age-specific estimates rather than displacing the national representatives.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2026-09-12T02:39:07.139Z</dcterms:created>
  <dcterms:modified xsi:type="dcterms:W3CDTF">2026-09-12T02:39:07.140Z</dcterms:modified>
</cp:coreProperties>
</file>

<file path=docProps/custom.xml><?xml version="1.0" encoding="utf-8"?>
<Properties xmlns="http://schemas.openxmlformats.org/officeDocument/2006/custom-properties" xmlns:vt="http://schemas.openxmlformats.org/officeDocument/2006/docPropsVTypes"/>
</file>