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used only in the sensitivity analysis,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—22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restricting to directly reported estimates left 34 unchanged (6 changed, 33 dropped); and restricting to NHW-comparator estimates left 56 unchanged (17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2026-09-05T09:58:38.531Z</dcterms:created>
  <dcterms:modified xsi:type="dcterms:W3CDTF">2026-09-05T09:58:38.531Z</dcterms:modified>
</cp:coreProperties>
</file>

<file path=docProps/custom.xml><?xml version="1.0" encoding="utf-8"?>
<Properties xmlns="http://schemas.openxmlformats.org/officeDocument/2006/custom-properties" xmlns:vt="http://schemas.openxmlformats.org/officeDocument/2006/docPropsVTypes"/>
</file>