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 versus an unstratified White reference, rate ratio 2.21, 95% CI 1.96–2.48).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The full screening audit is provided in the Supplementary.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2026-09-12T02:07:12.359Z</dcterms:created>
  <dcterms:modified xsi:type="dcterms:W3CDTF">2026-09-12T02:07:12.359Z</dcterms:modified>
</cp:coreProperties>
</file>

<file path=docProps/custom.xml><?xml version="1.0" encoding="utf-8"?>
<Properties xmlns="http://schemas.openxmlformats.org/officeDocument/2006/custom-properties" xmlns:vt="http://schemas.openxmlformats.org/officeDocument/2006/docPropsVTypes"/>
</file>