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relative to a White or non-Hispanic White (NHW) comparator, following PRISMA 2020. Because these registries (SEER, NPCR/USCS, NAACCR, and state) overlap, one representative estimate per group and dimension was selected, not pooled. Each estimate was an incidence rate ratio (IRR) versus a non-Hispanic White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(43 with extractable data)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is also shaped by how race is recorded: central registries that assign race by observation misclassify many AI/AN cases as non-Native, which understates their rates. Espey and colleagues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corrected this by linking registry records to Indian Health Service (IHS) enrollment, and the corrected rates were highest in the Northern and Southern Plains and in Alaska, where cancer in Alaska Native women has been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162 publications were included in the systematic review; of these, 48 were eligible for quantitative synthesis (43 provided extractable quantitative data)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an age band, or nativity)—and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presents the racial and ethnic differences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80 were excluded, giving 162 included studies (Figure 1). Of these, 48 were eligible for quantitative synthesis: 43 provided extractable estimates (143 individual estimates across racial/ethnic groups and analytic dimensions)</w:t>
      </w:r>
      <w:r>
        <w:rPr>
          <w:rFonts w:ascii="Times New Roman" w:cs="Times New Roman" w:eastAsia="Times New Roman" w:hAnsi="Times New Roman"/>
          <w:sz w:val="24"/>
          <w:szCs w:val="24"/>
          <w:vertAlign w:val="superscript"/>
        </w:rPr>
        <w:t xml:space="preserve">2–9,11–12,15–47</w:t>
      </w:r>
      <w:r>
        <w:rPr>
          <w:rFonts w:ascii="Times New Roman" w:cs="Times New Roman" w:eastAsia="Times New Roman" w:hAnsi="Times New Roman"/>
          <w:sz w:val="24"/>
          <w:szCs w:val="24"/>
        </w:rPr>
        <w:t xml:space="preserve"> and entered the analysis, while 5 were eligible but their rate table could not be obtained and each overlapped a study already represented; the remaining 114 informed the narrative synthesis (162 = 43 + 5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78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4):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together with the 5 quantitatively eligible but non-extractable studies,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examined in three ways (Supplementary Table 6). Restricting to low-risk-of-bias studies left 62 of 78 cell representatives unchanged, with the 3 changed and 13 dropped cells concentrated in the disaggregated AANHPI subgroups; restricting to directly reported estimates left 40 unchanged (5 changed, 33 dropped); and restricting to NHW-comparator estimates left 56 unchanged (1 changed, 21 dropped), the dropped cells being those whose only representative used an unstratified White comparator — the receptor-defined subtypes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conceal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Northern Plains (Figure 4).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26</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10,33,37,40</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4), so which group ranks highest depends on the tumor being counted.</w:t>
      </w:r>
    </w:p>
    <w:p>
      <w:pPr>
        <w:spacing w:after="160" w:line="360"/>
      </w:pPr>
      <w:r>
        <w:rPr>
          <w:rFonts w:ascii="Times New Roman" w:cs="Times New Roman" w:eastAsia="Times New Roman" w:hAnsi="Times New Roman"/>
          <w:sz w:val="24"/>
          <w:szCs w:val="24"/>
        </w:rPr>
        <w:t xml:space="preserve">Two features of the underlying data shaped these estimates and are part of what the synthesis contributes. Because SEER, NPCR/USCS, NAACCR, and state registries cover overlapping populations, estimates from different publications are not independent; the analysis therefore retained one representative population-based estimate per group and analytic dimension rather than pooling them. First, unlinked national registries misclassify race and undercount AI/AN cases, so an Indian Health Service–linked estimate was preferred for that group, and the reported AI/AN figures are the undercount-adjusted ones rather than the lower unlinked-registry values.</w:t>
      </w:r>
      <w:r>
        <w:rPr>
          <w:rFonts w:ascii="Times New Roman" w:cs="Times New Roman" w:eastAsia="Times New Roman" w:hAnsi="Times New Roman"/>
          <w:sz w:val="24"/>
          <w:szCs w:val="24"/>
          <w:vertAlign w:val="superscript"/>
        </w:rPr>
        <w:t xml:space="preserve">10,40</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 removed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2,28</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Because many estimates come from overlapping or nested registry populations, they are not statistically independent and were not combined into a pooled summary.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Registry overlap and the undercounting of AI/AN populations in unlinked registries are relevant to how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2109cc6d36de1da8211d437585219054b2a5150.png"/><Relationship Id="rId8" Type="http://schemas.openxmlformats.org/officeDocument/2006/relationships/image" Target="media/ff4e2a5df5b5a4b61ea7aa7931018a955ce889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2026-08-31T09:47:46.944Z</dcterms:created>
  <dcterms:modified xsi:type="dcterms:W3CDTF">2026-08-31T09:47:46.944Z</dcterms:modified>
</cp:coreProperties>
</file>

<file path=docProps/custom.xml><?xml version="1.0" encoding="utf-8"?>
<Properties xmlns="http://schemas.openxmlformats.org/officeDocument/2006/custom-properties" xmlns:vt="http://schemas.openxmlformats.org/officeDocument/2006/docPropsVTypes"/>
</file>