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commonly reported for broad racial and ethnic categories. Incidence for the detailed subgroups within them, and for receptor-defined subtypes, has been reported in separate cancer-registry studies that differ in populations, periods, and reference groups.</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Four databases (MEDLINE via PubMed, Embase, Scopus, and Web of Science) were searched for U.S. studies reporting female invasive breast cancer incidence by racial or ethnic group relative to a White or non-Hispanic White (NHW) comparator, following PRISMA 2020. Because these registries (SEER, NPCR/USCS, NAACCR, and state) overlap, one representative estimate per group and dimension was selected, not pooled. Each estimate was an incidence rate ratio (IRR) versus a non-Hispanic White reference (unstratified White for a minority of estimates); ratios not reported directly were recomputed from a single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162 studies were included—48 eligible for quantitative synthesis (43 with extractable data) and 114 narrative.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in Native Hawaiian women, 0.51 (Mexican) to 0.83 (Puerto Rican) by Hispanic origin, and 0.49 (Navajo area) to 1.33 (Northern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Reported at the aggregate level, these categories summarize overall differences but not the variation among their subgroups, several of which reach or exceed the NHW rate. Because unlinked registries undercount AI/AN incidence, Indian Health Service–linked estimates were used for that group.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Differences of this kind have been linked to the distribution of molecular subtypes and to stage at diagnosis, screening, and access to care.</w:t>
      </w:r>
      <w:r>
        <w:rPr>
          <w:rFonts w:ascii="Times New Roman" w:cs="Times New Roman" w:eastAsia="Times New Roman" w:hAnsi="Times New Roman"/>
          <w:sz w:val="24"/>
          <w:szCs w:val="24"/>
          <w:vertAlign w:val="superscript"/>
        </w:rPr>
        <w:t xml:space="preserve">2,4</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against 83 in Asian women overall, and within the Asian category the rate in Japanese women (126) was almost three times that in Laotian women (44); US-born women had far higher rates than the foreign-born.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origin-specific rates have been reported for Hispanic women in California.</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AI/AN women, the aggregate rate is also shaped by how race is recorded: central registries that assign race by observation misclassify many AI/AN cases as non-Native, which understates their rates. Espey and colleagues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corrected this by linking registry records to Indian Health Service (IHS) enrollment, and the corrected rates were highest in the Northern and Southern Plains and in Alaska, where cancer in Alaska Native women has been tracked in dedicated registries.</w:t>
      </w:r>
      <w:r>
        <w:rPr>
          <w:rFonts w:ascii="Times New Roman" w:cs="Times New Roman" w:eastAsia="Times New Roman" w:hAnsi="Times New Roman"/>
          <w:sz w:val="24"/>
          <w:szCs w:val="24"/>
          <w:vertAlign w:val="superscript"/>
        </w:rPr>
        <w:t xml:space="preserve">11,12</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removes this overlap,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To keep overlapping registry data from being counted twice,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if they reported invasive breast cancer incidence among women in the United States for at least one racial or ethnic group relative to a White or non-Hispanic White (NHW) comparator, either as an incidence rate ratio (IRR) or standardized incidence ratio (SIR) or as age-standardized rates from which a ratio could be computed. Both aggregate groups and disaggregated subgroups (Asian American, Native Hawaiian and Pacific Islander, Hispanic/Latina by origin, and American Indian and Alaska Native [AI/AN] by region) and receptor-defined molecular subtypes were included.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preprints (not peer-reviewed), non-U.S. studies, studies without a usable incidence comparison, and mortality- or survival-only reports were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and then full texts, were screened independently by two reviewers, and disagreements were resolved by consensus or a third reviewer. In all, 162 publications were included in the systematic review; of these, 48 were eligible for quantitative synthesis (43 provided extractable quantitative data) and the remaining 114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receptor-defined subtype, an age band, or nativity)—and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the most recent and longest diagnosis period, a clearly documented age-standardization, and a directly reported confidence interval where available. For American Indian and Alaska Native (AI/AN) populations this order was overridden: an Indian Health Service–linked (IHS-PRCDA) estimate was preferred over an unlinked national-registry estimate for the same dimension, because unlinked registries misclassify race and undercount this population, so the more valid population definition—rather than the broadest coverage— determined the representative.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Two reviewers applied the checklist independently, and disagreements were resolved by consensus or a third reviewer.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Because estimates within a group are drawn from overlapping registry populations and are not independent, they were not combined into a pooled random-effects estimate; the primary result for each group is the representative population-based estimate defined above. The analysis therefore presents the racial and ethnic differences and the heterogeneity among subgroups within each aggregate category, displayed group by group rather than summarized as a single pooled value. Studies that met the inclusion criteria but did not provide a recoverable non-Hispanic White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Each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assessed for 242 reports, of which 80 were excluded, giving 162 included studies (Figure 1). Of these, 48 were eligible for quantitative synthesis: 43 provided extractable estimates (143 individual estimates across racial/ethnic groups and analytic dimensions)</w:t>
      </w:r>
      <w:r>
        <w:rPr>
          <w:rFonts w:ascii="Times New Roman" w:cs="Times New Roman" w:eastAsia="Times New Roman" w:hAnsi="Times New Roman"/>
          <w:sz w:val="24"/>
          <w:szCs w:val="24"/>
          <w:vertAlign w:val="superscript"/>
        </w:rPr>
        <w:t xml:space="preserve">2–9,11–12,15–47</w:t>
      </w:r>
      <w:r>
        <w:rPr>
          <w:rFonts w:ascii="Times New Roman" w:cs="Times New Roman" w:eastAsia="Times New Roman" w:hAnsi="Times New Roman"/>
          <w:sz w:val="24"/>
          <w:szCs w:val="24"/>
        </w:rPr>
        <w:t xml:space="preserve"> and entered the analysis, while 5 were eligible but their rate table could not be obtained and each overlapped a study already represented; the remaining 114 informed the narrative synthesis (162 = 43 + 5 + 114).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registry-family estimates, 78 representative estimates remained, one per analytic cell; all are listed in Supplementary Table 4, and the principal comparisons—overall incidence, the disaggregated AANHPI and Hispanic-origin subgroups, AI/AN by region, Middle Eastern populations, and triple-negative breast cancer—are shown in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3).</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differed by country of origin: Mexican 0.51 (0.38–0.69), New Latino 0.70 (0.63–0.77), Cuban 0.77 (0.69–0.86), and Puerto Rican 0.83 (0.74–0.94); the aggregate Hispanic/Latina estimate was a standardized incidence ratio of 0.64 (Table 1; Figure 3).</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1.25 (1.11–1.41) in the Southern Plains and 1.33 (1.26–1.41) in the Northern Plains (Table 1; Figure 3).</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 Figure 3).</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4):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114 narrative-synthesis studies met the inclusion criteria but did not report an incidence rate ratio, or age-standardized rates, from which a comparison with a non-Hispanic White reference could be recovered; they, together with the 5 quantitatively eligible but non-extractable studies, are listed by category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 patterns they described were broadly consistent with the quantitative findings—lower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37 of the 43 studies were at low risk of bias and 6 at moderate risk, with none at high risk (Supplementary Table 5); the moderate ratings arose mainly where an estimate was reported without a variance or where race and ethnicity ascertainment was limited. The representative selection was examined in three ways (Supplementary Table 6). Restricting to low-risk-of-bias studies left 62 of 78 cell representatives unchanged, with the 3 changed and 13 dropped cells concentrated in the disaggregated AANHPI subgroups; restricting to directly reported estimates left 40 unchanged (5 changed, 33 dropped); and restricting to NHW-comparator estimates left 56 unchanged (1 changed, 21 dropped), the dropped cells being those whose only representative used an unstratified White comparator — the receptor-defined subtypes and two age-specific Black cells.</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For triple-negative breast cancer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conceal wide variation among the subgroups they contain. Among Asian American subgroups the IRR ranged from 0.16 in Hmong women to 1.05 in Japanese women; Native Hawaiian women (1.21) and the Native Hawaiian and Pacific Islander (NHPI) aggregate (1.21) exceeded the NHW rate; Hispanic incidence rose from 0.51 in Mexican women to 0.83 in Puerto Rican women; and AI/AN incidence ranged from 0.49 in the Navajo area to 1.33 in the Northern Plains (Figure 4).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26</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10,33,37,40</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4), so which group ranks highest depends on the tumor being counted.</w:t>
      </w:r>
    </w:p>
    <w:p>
      <w:pPr>
        <w:spacing w:after="160" w:line="360"/>
      </w:pPr>
      <w:r>
        <w:rPr>
          <w:rFonts w:ascii="Times New Roman" w:cs="Times New Roman" w:eastAsia="Times New Roman" w:hAnsi="Times New Roman"/>
          <w:sz w:val="24"/>
          <w:szCs w:val="24"/>
        </w:rPr>
        <w:t xml:space="preserve">Two features of the underlying data shaped these estimates and are part of what the synthesis contributes. Because SEER, NPCR/USCS, NAACCR, and state registries cover overlapping populations, estimates from different publications are not independent; the analysis therefore retained one representative population-based estimate per group and analytic dimension rather than pooling them. First, unlinked national registries misclassify race and undercount AI/AN cases, so an Indian Health Service–linked estimate was preferred for that group, and the reported AI/AN figures are the undercount-adjusted ones rather than the lower unlinked-registry values.</w:t>
      </w:r>
      <w:r>
        <w:rPr>
          <w:rFonts w:ascii="Times New Roman" w:cs="Times New Roman" w:eastAsia="Times New Roman" w:hAnsi="Times New Roman"/>
          <w:sz w:val="24"/>
          <w:szCs w:val="24"/>
          <w:vertAlign w:val="superscript"/>
        </w:rPr>
        <w:t xml:space="preserve">10,40</w:t>
      </w:r>
      <w:r>
        <w:rPr>
          <w:rFonts w:ascii="Times New Roman" w:cs="Times New Roman" w:eastAsia="Times New Roman" w:hAnsi="Times New Roman"/>
          <w:sz w:val="24"/>
          <w:szCs w:val="24"/>
        </w:rPr>
        <w:t xml:space="preserve"> Second, reference groups differed across sources—most used a non-Hispanic White comparator and a minority an unstratified White reference—so each comparator was recorded as its source defined it and a sensitivity analysis was restricted to NHW-comparator estimates.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 removed and each source appraised, lets aggregate and subgroup results be read side by side.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2,28</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Because many estimates come from overlapping or nested registry populations, they are not statistically independent and were not combined into a pooled summary. Some rate ratios were computed from published age-standardized rates rather than reported directly, and a few used an unstratified White comparator (the receptor-defined subtypes), which can move a ratio slightly. Included studies differed in standard population and diagnosis period, limiting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Registry overlap and the undercounting of AI/AN populations in unlinked registries are relevant to how these differences are interpreted.</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27.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28.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29.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30.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31.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33.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34.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35.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36.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37.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38.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39.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40.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41.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42.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43.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44.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45.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46.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47.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p>
      <w:pPr>
        <w:spacing w:after="120" w:line="260"/>
      </w:pPr>
      <w:r>
        <w:rPr>
          <w:rFonts w:ascii="Malgun Gothic" w:cs="Malgun Gothic" w:eastAsia="Malgun Gothic" w:hAnsi="Malgun Gothic"/>
          <w:i/>
          <w:iCs/>
          <w:sz w:val="16"/>
          <w:szCs w:val="16"/>
        </w:rPr>
        <w:t xml:space="preserve">Each value is a representative population-based estimate (a contemporary benchmark) for the group — the most recent, broadest-coverage registry estimate with an appropriate population definition and standardization — not a meta-analytic pooled estimate; one estimate is shown per registry family. Effect measure is the incidence rate ratio (IRR) unless noted as a standardized incidence ratio (SIR). Comparisons are versus non-Hispanic White (NHW) women, except where marked † — the reference in that study was an unstratified White group (not stratified by Hispanic origin), which may raise the IRR slightly; these estimates are examined in the NHW-comparator sensitivity analysis (Supplementary Table 6c). Black denotes non-Hispanic Black (NHB), and the Asian/Pacific Islander aggregate is labeled AANHPI (Asian American, Native Hawaiian, and Pacific Islander), with the Pacific-Islander subset shown separately as NHPI. RoB = risk-of-bias rating of the representative study. Full per-estimate detail, including each study's comparator and standard population, is in the Supplementary Materials.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(1999-2015)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(1995-2000)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75188affc8fbacc18ff1aed4426fbcc15a314b4.png"/><Relationship Id="rId8" Type="http://schemas.openxmlformats.org/officeDocument/2006/relationships/image" Target="media/ff4e2a5df5b5a4b61ea7aa7931018a955ce889d8.png"/><Relationship Id="rId9" Type="http://schemas.openxmlformats.org/officeDocument/2006/relationships/image" Target="media/9a05ea69b04b284c212d4e1ea8217740ab560f6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2026-09-01T09:22:47.144Z</dcterms:created>
  <dcterms:modified xsi:type="dcterms:W3CDTF">2026-09-01T09:22:47.144Z</dcterms:modified>
</cp:coreProperties>
</file>

<file path=docProps/custom.xml><?xml version="1.0" encoding="utf-8"?>
<Properties xmlns="http://schemas.openxmlformats.org/officeDocument/2006/custom-properties" xmlns:vt="http://schemas.openxmlformats.org/officeDocument/2006/docPropsVTypes"/>
</file>