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114 contributed to the narrative synthesis only (162 = 43 + 5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56 of 74 cells unchanged, 8 changed, 10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36 unchanged, 6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74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API 9.5 per 100,000. IRR = rate/12.8 (NHB 1.95, Hispanic 0.90,</w:t>
      </w:r>
    </w:p>
    <w:p>
      <w:pPr>
        <w:spacing w:after="80"/>
      </w:pPr>
      <w:r>
        <w:rPr>
          <w:rFonts w:ascii="Malgun Gothic" w:cs="Malgun Gothic" w:eastAsia="Malgun Gothic" w:hAnsi="Malgun Gothic"/>
          <w:i w:val="false"/>
          <w:iCs w:val="false"/>
          <w:sz w:val="18"/>
          <w:szCs w:val="18"/>
        </w:rPr>
        <w:t xml:space="preserve">• AI/AN 0.73, API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2026-09-01T09:22:47.532Z</dcterms:created>
  <dcterms:modified xsi:type="dcterms:W3CDTF">2026-09-01T09:22:47.532Z</dcterms:modified>
</cp:coreProperties>
</file>

<file path=docProps/custom.xml><?xml version="1.0" encoding="utf-8"?>
<Properties xmlns="http://schemas.openxmlformats.org/officeDocument/2006/custom-properties" xmlns:vt="http://schemas.openxmlformats.org/officeDocument/2006/docPropsVTypes"/>
</file>