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(all 48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an internal or non-White reference—was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all providing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all 48 provided extractable estimates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 and entered the analysis—22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These comparisons rest on a synthesis that collapsed overlapping registry estimates to one representative per analytic cell, preferred Indian Health Service–linked data where unlinked registries undercount AI/AN cases, harmonized the White comparator, and traced every rate ratio to a single appraised source.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2026-09-02T09:27:49.123Z</dcterms:created>
  <dcterms:modified xsi:type="dcterms:W3CDTF">2026-09-02T09:27:49.123Z</dcterms:modified>
</cp:coreProperties>
</file>

<file path=docProps/custom.xml><?xml version="1.0" encoding="utf-8"?>
<Properties xmlns="http://schemas.openxmlformats.org/officeDocument/2006/custom-properties" xmlns:vt="http://schemas.openxmlformats.org/officeDocument/2006/docPropsVTypes"/>
</file>