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and Meta-Analysis</w:t>
      </w:r>
    </w:p>
    <w:p>
      <w:pPr>
        <w:pStyle w:val="Heading1"/>
        <w:spacing w:after="100" w:before="200"/>
      </w:pPr>
      <w:r>
        <w:rPr>
          <w:rFonts w:ascii="Malgun Gothic" w:cs="Malgun Gothic" w:eastAsia="Malgun Gothic" w:hAnsi="Malgun Gothic"/>
          <w:b/>
          <w:bCs/>
          <w:sz w:val="24"/>
          <w:szCs w:val="24"/>
        </w:rPr>
        <w:t xml:space="preserve">Supplementary Table 1. Final search strategy for each database</w:t>
      </w:r>
    </w:p>
    <w:p>
      <w:pPr>
        <w:spacing w:after="80"/>
      </w:pPr>
      <w:r>
        <w:rPr>
          <w:rFonts w:ascii="Malgun Gothic" w:cs="Malgun Gothic" w:eastAsia="Malgun Gothic" w:hAnsi="Malgun Gothic"/>
          <w:i/>
          <w:iCs/>
          <w:sz w:val="18"/>
          <w:szCs w:val="18"/>
        </w:rPr>
        <w:t xml:space="preserve">Search conducted 7 August 2026. Concept blocks combined with AND: breast cancer × race/ethnicity × incidence/age-adjusted rate × United States. Limits: 2000–2026, English, human; document-type exclusions.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Total records identified 9,099; duplicate records removed (cross-database) 4,306; unique records screened 4,793.</w:t>
      </w:r>
    </w:p>
    <w:p>
      <w:r>
        <w:br w:type="page"/>
      </w:r>
    </w:p>
    <w:p>
      <w:pPr>
        <w:pStyle w:val="Heading1"/>
        <w:spacing w:after="100" w:before="200"/>
      </w:pPr>
      <w:r>
        <w:rPr>
          <w:rFonts w:ascii="Malgun Gothic" w:cs="Malgun Gothic" w:eastAsia="Malgun Gothic" w:hAnsi="Malgun Gothic"/>
          <w:b/>
          <w:bCs/>
          <w:sz w:val="24"/>
          <w:szCs w:val="24"/>
        </w:rPr>
        <w:t xml:space="preserve">Supplementary Table 2. Characteristics of included studies (n = 163)</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6346"/>
        <w:gridCol w:w="3295"/>
        <w:gridCol w:w="3173"/>
        <w:gridCol w:w="1586"/>
      </w:tblGrid>
      <w:tr>
        <w:trPr>
          <w:tblHeader/>
        </w:trPr>
        <w:tc>
          <w:tcPr>
            <w:tcW w:type="dxa" w:w="634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329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1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Groups vs NHW</w:t>
            </w:r>
          </w:p>
        </w:tc>
        <w:tc>
          <w:tcPr>
            <w:tcW w:type="dxa" w:w="158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Synthesis</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Giaquinto et al. Breast cancer statistics 2024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et al. US incidence of breast cancer subtypes defined by joint hormone receptor and HER2 status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white/black/API/Hispanic subtypes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et al. Breast Cancer Incidence Rates in Ghanaian and US Black Women from 2013 Through 2015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Black vs NHW (+Ghana non-US)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et al. Cancer statistics for the US Hispanic/Latino population, 2021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et al. Disparities and trends of the incidence and mortality of female-specific cancers in the United States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reference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 Argov et al. Breast Cancer Incidence Trends in Older US Women by Race, Ethnicity, Geography, and Stage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(65+)</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Joslyn et al. Racial and ethnic disparities in breast cancer rates by age: NAACCR Breast Cancer Project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each race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Henley et al. Invasive cancer incidence - United States, 2010.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et al. Invasive breast cancer among Alaska Native women in Alaska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et al. Black-white breast cancer incidence trends: Effects of ethnicity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 et al. Incidence Rate Trends of Breast Cancer Overall and by Molecular Subtype by Race and Ethnicity and Age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et al. Cancer incidence in the Hmong in California, 1988-2000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NHW/API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et al. The Alaska Native Tumour Registry: fifty years of cancer surveillance data for  Alaska Native people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Satagopan et al. Breast cancer among Asian Indian and Pakistani Americans: A surveillance, epidemiology and end results-based study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et al. Age distributions of breast cancer diagnosis and mortality by race and ethnicity in US women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NH-White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Ghafoor et al. Trends in breast cancer by race and ethnicity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Abe et al. Breast, Colorectal, and Prostate Cancer Incidence among Filipino Americans by Generational Status in the Multiethnic Cohort Study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by generation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Johnson. Breast cancer racial differences before age 40--implications for screening.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 vs white (30-39)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et al. Disparities in breast cancer subtypes among women in the lower Mississippi Delta Region states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et al. Invasive breast cancer incidence trends by detailed race/ethnicity and age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 incl Filipina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Badowski et al. Cumulative Incidence Rates of Breast Cancer by Age for Filipinos and Chamorros in Guam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Chamorro/Filipino Guam/Hawaii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Clarke et al. Age-specific incidence of breast cancer subtypes: Understanding the black-white crossover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et al. Quantification of Potential Inequities in Breast Cancer Incidence in New Mexico Through Bayesian Disease Mapping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Roen et al. Disparities of cancer incidence in Michigan's American Indians: Spotlight on breast cancer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Acheampong et al. Incidence trends of breast cancer molecular subtypes by age and race/ethnicity in the US from 2010 to 2016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et al. Breast cancer incidence among American Indian and Alaska Native women: US, 1999-2004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by IHS 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et al. Decreasing Incidence of Estrogen Receptor-Negative Breast Cancer in the United States: Trends by Race and Region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Bartley et al. Are There Regional Differences in Triple Negative Breast Cancer among Non-Hispanic Black Women?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by region (no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Deapen et al. Rapidly rising breast cancer incidence rates among Asian-American women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ethnic 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Lepeak et al. Persistence in breast cancer disparities between African Americans and whites in Wisconsin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et al. Breast Cancer Incidence Among US Women Aged 20 to 49 Years by Race, Stage, and Hormone Receptor Status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HR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et al. Cancer incidence trends among asian american populations in the united states, 1990-2008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Asian American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et al. State Variation in Racial and Ethnic Disparities in Incidence of Triple-Negative Breast Cancer among US Women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White by state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Kaur et al. Trends in breast cancer incidence rates by race/ethnicity: Patterns by stage, socioeconomic position, and geography in the United States, 1999-2017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(age 50-84)</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et al. The high and heterogeneous burden of breast cancer in Hawaii: A unique multiethnic U.S. Population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White/Japanese/Native Hawaiian/Filipino/Chinese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Yost et al. Socioeconomic status and breast cancer incidence in California for different race/ethnic groups (2001)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NHW/black/Hispanic/Asian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et al. Trends in Breast Cancer Incidence, by Race, Ethnicity, and Age Among Women Aged ≥20 Years - United States, 1999-2018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race/ethnicity/age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DeSantis et al. Trends in stage at diagnosis for young breast cancer patients in the United States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 young-onset</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et al. Vital signs: Racial disparities in breast cancer severity - United States, 2005-2009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Smigal et al. Trends in breast cancer by race and ethnicity: Update 2006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Knowlton et al. Cancer Incidence Rate Variations among the Chinese, South Asian, and Vietnamese  in Massachusetts, 2011-2015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Chinese/S.Asian/Vietnamese (ref=All Asians)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et al. Breast cancer epidemiology in blacks and whites: Disparities in incidence, mortality, survival rates and histology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et al. Breast Cancer Incidence in Black and White Women Stratified by Estrogen and Progesterone Receptor Statuses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et al. Recent trends in breast cancer among younger women in the United States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white/black/Hispanic/API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DeSantis et al. Breast cancer incidence rates in U.S. women re no longer declining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et al. Cancer incidence trends among native hawaiians and other pacific islanders in the united states, 1990-2008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NHOPI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et al. Racial and regional disparities of triple negative breast cancer incidence rates in the United States: An analysis of 2011-2019 NPCR and SEER incidence data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NHB/NHW/Hispanic/API/AIAN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et al. Breast cancer incidence trends in Asian women aged 20 or older as compared to other ethnic women in the United States from 2000 to 2018 by time period, age and tumor stage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NHW/NHB/API/Hispanic/AIAN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Michaels et al. Home mortgage discrimination and incidence of triple-negative and Luminal A breast cancer among non-Hispanic Black and non-Hispanic White females in California, 2006–2015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 (TNBC/LumA)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et al. Breast Cancer Incidence in Asian American, Native Hawaiian, and Pacific Islander Populations, 2000-2022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AANHPI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et al. Hidden breast cancer disparities in Asian women: disaggregating incidence rates by ethnicity and migrant status.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 nativity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Paltoo et al. Patterns in cancer incidence among American Indians/Alaska Natives, United States, 1992-1999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Yin et al. Does socioeconomic disparity in cancer incidence vary across racial/ethnic groups?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NHW/Black/Hispanic/API by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Chlebowski et al. Forty-year trends in menopausal hormone therapy use and breast cancer incidence  among postmenopausal black and white women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Il'yasova et al. What can we learn from the age- and race/ethnicity- specific rates of inflammatory breast carcinoma?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African-American/White/etc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et al. Age-related crossover in breast cancer incidence rates between black and white ethnic groups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Swan et al. Cancer rates among American Indians and Alaska Natives: is there a national  perspective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overall SEER/white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Abubakar et al. Trends in Female Breast Cancer Incidence among Japanese, Korean, and US Populations: An Age-Period-Cohort Analysis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Japanese/White/Black (+native Japan/Korea)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et al. Variation in breast cancer subtype incidence and distribution by race/ethnicity in the United States from 2010 to 2015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Hausauer et al. Recent breast cancer trends among Asian/Pacific Islander, Hispanic, and African-American women in the US: Changes by tumor subtype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API/Hispanic/AA vs White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Lewis et al. Early estimates of cancer incidence for 2015: Expanding to include estimates for white and black races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Fong et al. Inter- and intra-ethnic differences for female breast carcinoma incidence in the continental United States and in the state of Hawaii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White/API/Black continental + Hawaii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et al. Breast cancer in Asian Americans in California, 1988–2013: increasing incidence trends and recent data on breast cancer subtypes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 ethnic 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et al. Breast cancer incidence patterns among california hispanic women: Differences by nativity and residence in an enclave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nativity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Matsuno et al. Early- and late-onset breast cancer types among women in the United States and Japan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White/Black (+Osaka Japan)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Day et al. Cancers of the breast, uterus, ovary and cervix among Alaska native women, 1974-2003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et al. Patterns and Trends in Age-Specific Black-White Differences in Breast Cancer Incidence and Mortality - United States, 1999-2014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Polednak. Explaining geographic variation in breast and cervical cancer incidence rates in US Hispanic women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women by geography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et al. Decline in US breast cancer rates after the Women's Health Initiative: socioeconomic and racial/ethnic differentials.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et al. Differences in breast cancer incidence among young women aged 20–49 years by stage and tumor characteristics, age, race, and ethnicity, 2004–2013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Hung et al. Racial/ethnicity disparities in invasive breast cancer among younger and older  women: An analysis using multiple measures of population health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younger vs older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et al. Age/race differences in HER2 testing and in incidence rates for breast cancer triple subtypes: A population-based study and first report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age/race + triple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Chu et al. Rates for breast cancer characteristics by estrogen and progesterone receptor status in the major racial/ethnic groups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racial/ethnic groups +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Samson et al. Disparities in Breast Cancer Incidence, Mortality, and Quality of Care among African American and European American Women in South Carolina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European American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Hou et al. A trend analysis of breast cancer incidence rates in the United States from 2000 to 2009 shows a recent increase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NHW/NHB/API/Hispanic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et al. Higher population-based incidence rates of triple-negative breast cancer among young African-American women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 + TNBC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Bunte et al. Regional disparities in incidence and outcomes of invasive ductal carcinoma of the breast among Asian and Pacific Islander women in the United States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API women by region (no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Quinn et al. Trends in Incidence of Invasive Lobular Carcinoma of the Breast by Race: Patterns by Age, Cancer Stage, and Socioeconomic Factors in the United States, 1992-2019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Truong et al. The role of ethnic enclaves and neighborhood socioeconomic status in invasive breast cancer incidence rates among Asian American, Native Hawaiian, and Pacific Islander females in California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by enclave/nSES (not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Mzizi et al. Incidence, Trends, and Racial/Ethnic Disparities in Female Breast Cancer in the United States, 2000-2023: A SEER Based Study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 et al. Changes in breast cancer incidence rates in the United States by histologic subtype and race/ethnicity, 1995 to 2004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NHW/black/AIAN/API + histology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et al. Race/ethnicity and changing US socioeconomic gradients in breast cancer incidence: California and Massachusetts, 1978-2002 (United States)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Cunningham et al. Racial differences in the incidence of breast cancer subtypes defined by combined histologic grade and hormone receptor status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ER/Grade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et al. Comparison of clinicopathologic features and survival in young American women aged 18-39 years in different ethnic groups with breast cancer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groups (18-39)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et al. Trends and Patterns of Late and Unstaged Lung, Colorectal, Female Breast, and  Prostate Cancers among American Indians in the Northern Plains, 2002-2009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et al. Recent trends in breast cancer incidence among 6 Asian groups in the Greater Bay Area of Northern California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Sherr et al. Persistent poverty and breast cancer incidence by tumor subtype: intersections of rural/urban residence and race within USA Surveillance Epidemiology and End Results Registries, 2017 to 2021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strata (comparator=poverty)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Tarone et al. The greater impact of menopause on ER- than ER+ breast cancer incidence: A possible explanation (United States)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male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Chanpura. Spillover effects of public school integration in the southern United States: diverging trends in statewide annual breast cancer incidence, 2001–2019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White (policy/cohort)</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Sighoko et al. Changes in the pattern of breast cancer burden among African American women: Evidence based on 29 states and District of Columbia during 1998 to 2010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Caucasian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et al. Trends in area-socioeconomic and race-ethnic disparities in breast cancer incidence, stage at diagnosis, screening, mortality, and survival among women ages 50 years and over (1987-2005)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area-SES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et al. Trends in Cancer Incidence among American Indians and Alaska Natives and Non-Hispanic Whites in the United States, 1999-2015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Movsisyan Vernon et al. Cancer Incidence and Trends in Persistent Poverty Areas of California by Race/Ethnicity and Sex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(comparator=PPA/non-PPA)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Torre et al. Cancer statistics for Asian Americans, Native Hawaiians, and Pacific Islanders, 2016: Converging incidence in males and females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Purrington et al. The role of area-level socioeconomic disadvantage in racial disparities in cancer incidence in metropolitan Detroit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et al. Characterizing breast cancer incidence and trends among Asian American, Native Hawaiian, and non-Hispanic White women in Hawaiʻi, 1990-2014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Williams et al. Racial and socioeconomic disparities in breast cancer diagnosis and mortality in Pennsylvania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Hernandez et al. Cancer in Guam and Hawaii: A comparison of two U.S. Island populations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vs Hawaii (not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Breast cancer in the middle eastern population of California, 1988-2004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Crabbe et al. Secular trends, race, and geographic disparity of early-stage breast cancer incidence: 25 years of surveillance in Connecticut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non-White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Hall et al. Urbanization and breast cancer incidence in North Carolina, 1995-1999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urbanization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Kehm et al. Geographic differences in early-onset breast cancer incidence trends in the USA, 2001–2020, is it time for a geographic risk score?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et al. Population-based statistics for women diagnosed with inflammatory breast cancer (United States)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(unclear)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et al. Breast cancer incidence and stage at diagnosis in the six US-Affiliated Pacific  Islands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USAPI vs US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Oh et al. Disparities in cancer incidence by rurality in California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rurality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et al. Cancer among Asian Indians/Pakistanis living in the United States: Low incidence and generally above average survival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Akinyemiju et al. Cancer-related risk factors and incidence of major cancers by race, gender and region; analysis of the NIH-AARP diet and health study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race/gender/region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Mohamed et al. Cancer incidence in the Somali population of Olmsted County: A Rochester epidemiology project study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Somali vs non-Somali/SEER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et al. Cancer statistics for adolescents and young adults, 2020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Wang et al. Disparities in breast cancer incidence and survival by age, race, and molecular subtype in US women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Lawrence et al. Early-Onset Cancer Incidence Disparities Between Black and White Individuals in the US, 2003-2022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Black vs NH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Islami et al. American Cancer Society’s Report on the Status of Cancer Disparities in the United States, 2025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Siegel et al. Cancer statistics, 2026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et al. Cancer incidence, stage at diagnosis, and trends across the Navajo Nation, 2014–2018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Navajo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Streicher et al. Characterizing cancer patterns in Okinawan vs. mainland Japanese Americans: The Multiethnic Cohort Study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Okinawan vs mainland Japanese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Tierney et al. Inequalities in Fertility-Impacting Cancer Incidence Among Young Populations in the United States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(grouped cancers)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Parada et al. Cancer Incidence in the Hispanic Community Health Study/Study of Latinos (HCHS/SOL)—The Onco-SOL Ancillary Study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heritage groups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Gupta et al. Early-onset cancer incidence in the United States by race/ethnicity between 2011 and 2020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Semprini et al. Rural–Urban Cancer Incidence and Trends in the United States, 2000 to 2019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(comparator=rurality)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et al. Associations of Obesity, Physical Activity, and Screening With State-Level Trends and Racial and Ethnic Disparities of Breast Cancer Incidence and Mortality in the US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White by state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et al. Cancer disparities among non-Hispanic urban American Indian and Alaska Native populations in the United States, 1999-2017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 AI/AN vs urban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Tuan et al. Breast Cancer Incidence Trends by Estrogen Receptor Status among Asian American Ethnic Groups, 1990-2014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API</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et al. Subtype-specific breast cancer incidence rates in black versus white men in the United States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MEN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et al. Cancer incidence and associations with known risk and protective factors: the Alaska EARTH study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cohort (risk factors)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Thomas et al. Incidence and survival among young women with stage I-III breast cancer: Seer 2000-2015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(20-49)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et al. Disparities in cancer incidence and trends among American Indians and Alaska natives in the United States, 2010–2015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Oyenuga et al. Cancer patterns in Hmong in Minnesota, 2000 to 2012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API/NHW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 et al. The fluctuating incidence, improved survival of patients with breast cancer, and disparities by age, race, and socioeconomic status by decade, 1981–2010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Katanoda et al. Incidence rate for breast cancer in Japanese in Japan and in the United States from the Cancer Incidence in Five Continents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Japan vs US (White/Black)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et al. Cancer incidence in first generation U.S. Hispanics: Cubans, Mexicans, Puerto Ricans, and New Latinos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Cuban/Mexican/PR vs NHW/NHB</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Mahoney et al. Fifty years of cancer in an American Indian population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(Seneca) vs general pop</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et al. Cancer health disparities among Indian and Pakistani immigrants in the United States a Surveillance, Epidemiology, and End Results-based study from 1988 to 2003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Weir et al. Cancer in American Indian and Alaska Native Young Adults (Ages 20-44 Years): US, 1999-2004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(20-44)</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Rastogi et al. Cancer incidence rates among South Asians in four geographic regions: India, Singapore, UK and US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US vs US whites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et al. Cambodian cancer incidence rates in California and Washington, 1998-2002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vs NHW/Asian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et al. Cancer incidence in the Middle Eastern population of California, 1988-2004.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 et al. Cancer incidence among Korean-American immigrants in the United States and native Koreans in South Korea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Korean-American vs 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et al. Patterns of cancer incidence among US Hispanics/Latinos, 1995-2000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NHW/NHB</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Jain et al. Cancer incidence in the South Asian population of California, 1988-2000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vs NHW/API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Maskarinec et al. The effect of migration on cancer incidence among Japanese in Hawaii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Japanese-in-Hawaii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Ross et al. Cancer in the Minnesota Hmong population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US-born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et al. Cancer incidence patterns in Koreans in the US and in Kangwha, South Korea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Eldridge et al. Structural Racism and Triple-Negative Breast Cancer among Black and White Women in the United States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(TNBC)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et al. Incidence of and Trends in the Leading Cancers with Elevated Incidence among American Indian and Alaska Native Populations, 2012-2016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Tran et al. Risk of cancer in Asian Americans: a Kaiser Permanente cohort study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Hirko et al. Characterizing inflammatory breast cancer among Arab Americans in the California, Detroit and New Jersey Surveillance, Epidemiology and End Results (SEER) registries (1988-2008)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Arab American vs NHW (IBC)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Telli et al. Asian ethnicity and breast cancer subtypes: A study from the California Cancer Registry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vs NHW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Mahoney et al. Changes in cancer incidence patterns among a northeastern American Indian population: 1955-1969 versus 1990-2004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northeastern AI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 et al. Cancer incidence patterns among Vietnamese in the United States and Ha Noi, Vietnam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 US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et al. Incidence of selected cancers in Non-Hispanic American Indian and Alaska Native adolescent and young adult populations, 1999-2019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NH-AI/AN AYA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et al. Cancer incidence among Asian American populations in the United States, 2009-2011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et al. Racial/ethnic patterns in lifetime and age-conditional risk estimates for selected cancers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et al. Cancer incidence and mortality patterns among specific Asian and Pacific Islander populations in the US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API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Bazzi et al. Trends in Breast Cancer Incidence and Mortality in the United States From 2004-2018: A Surveillance, Epidemiology, and End Results (SEER)-Based Study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Krok-Schoen et al. White-Black Differences in Cancer Incidence, Stage at Diagnosis, and Survival Among Older Adults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(65+)</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Sherman et al. Annual Report to the Nation on the Status of Cancer, featuring state-level statistics after the onset of the COVID-19 pandemic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et al. Cancer incidence, mortality, and associated risk factors among Asian Americans of Chinese, Filipino, Vietnamese, Korean, and Japanese ethnicities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5 Asian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Reynolds et al. AN EXCESS OF BREAST CANCER AMONG YOUNG CALIFORNIA-BORN ASIAN WOMEN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CA-born Asian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Saka et al. Cancer statistics for African American and Black people, 2025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et al. Cancer among Hispanic women in South Florida: An 18-year assessment - A report from the Florida Cancer Data System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Medhanie et al. Cancer Incidence Profile in Sub-Saharan African-Born Blacks in the United States: Similarities and Differences With US-Born Non-Hispanic Blacks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African-born vs US-born 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Khan et al. Differences in the cancer burden among foreign-born and US-born Arab Americans living in metropolitan Detroit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foreign/US-born Arab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Ziadeh et al. Cancer risk in different generations of Middle Eastern immigrants to California, 1988-2013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 immigrant generations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Avila et al. Stage IV Breast Cancer Incidence and Survival, 2010-202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Martínez et al. Breast cancer among hispanic and non-hispanic white women in Arizona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Moss et al. Triple-negative breast cancer incidence in the United States: ecological correlations with area-level sociodemographics, healthcare, and health behaviors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Stapleton et al. Race/Ethnicity and Age Distribution of Breast Cancer Diagnosis in the United  States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Johnson et al. Incidence of breast cancer with distant involvement among women in the United States, 1976 to 2009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et al. Risks of developing breast and colorectal cancer in association with incomes and geographic locations in Texas: A retrospective cohort study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Thaploo et al. Disparities in Stage at Presentation for Disaggregated Asian American, Native Hawaiian, and Pacific Islander Patients with Breast Cancer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Morris et al. The risk of developing breast cancer within the next 5, 10, or 20 years of a woman's life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Tarone. Breast cancer trends among young women in the United States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Calip et al. Breast Cancer Incidence in Asian American, Native Hawaiian, and Pacific Islander Populations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et al. Is male breast cancer similar or different than female breast cancer?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Siegel et al. The Impact of Eliminating Socioeconomic and Racial Disparities on Premature Cancer Deaths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Thompson et al. Breast cancer trends and outcomes among young Black Women: A national cancer database analysis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Den et al. Rising Breast Cancer Incidence and Poor Outcomes in Young Women: A Retrospective Study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Sasaki et al. Differences in Breast Cancer Subtypes among Racial/Ethnic Groups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DeSantis et al. Breast cancer statistics, 2019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Giaquinto et al. Lobular breast cancer statistics, 2025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DeSantis et al. Breast cancer statistics, 2015: Convergence of incidence rates between black and white women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DeSantis et al. Cancer statistics for African Americans, 2016: Progress and opportunities in reducing racial disparities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et al. Annual report to the nation on the status of cancer, part 1: National cancer statistics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Henley et al. Annual report to the nation on the status of cancer, part I: National cancer statistics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Edwards et al. Annual Report to the Nation on the status of cancer, 1975-2010, featuring  prevalence of comorbidity and impact on survival among persons with lung, colorectal, breast, or prostate cancer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Jemal et al. Annual Report to the Nation on the Status of Cancer, 1975-2014, Featuring  Survival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Howe et al. Annual report to the nation on the status of cancer, 1975-2003, featuring cancer  among U.S. Hispanic/Latino populations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 et al. Annual report to the nation on the status of cancer, 1975-2011, featuring incidence of breast cancer subtypes by race/ethnicity, poverty, and state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Edwards et al. Annual report to the nation on the status of cancer, 1975-2002, featuring  population-based trends in cancer treatment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DeSantis et al. Breast cancer statistics, 2017, racial disparity in mortality by state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Giaquinto et al. Cancer statistics for African American/Black People 2022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Edwards et al. Annual report to the nation on the status of cancer, 1973-1999, featuring implications of age and aging on U.S. cancer burden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Giaquinto et al. Breast Cancer Statistics, 2022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Espey et al. Annual report to the nation on the status of cancer, 1975-2004, featuring cancer  in American Indians and Alaska Natives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Howe et al. Annual report to the nation on the status of cancer (1973 through 1998),  featuring cancers with recent increasing trends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Ward et al. Annual Report to the Nation on the Status of Cancer, Featuring Cancer in Men and Women Age 20–49 Years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Ries et al. The annual report to the nation on the status of cancer, 1973-1997, with a  special section on colorectal cancer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Edwards et al. Annual report to the nation on the status of cancer, 1975-2006, featuring  colorectal cancer trends and impact of interventions (risk factors, screening, and treatment) to reduce future rates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Siegel et al. Cancer statistics, 2012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Bunte et al. Regional Disparities in Incidence and Outcomes of Invasive Ductal Carcinoma Among Asian and Pacific Islander Women in the United States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Siegel et al. Cancer statistics, 2024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Siegel et al. Cancer statistics, 2023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Islami et al. American Cancer Society's report on the status of cancer disparities in the United States, 2021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et al. Estrogen receptor negative breast cancer incidence rates are similar in Ghanaian and Non-Hispanic Black women in the USA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Siegel et al. Cancer statistics, 2022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Siegel et al. Cancer statistics, 2020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DeSantis et al. Cancer statistics for African Americans, 2019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et al. Cancer Statistics for Hispanics/Latinos, 2018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Siegel et al. Cancer statistics, 2018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Siegel et al. Cancer Statistics, 2017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Siegel et al. Cancer statistics for Hispanics/Latinos, 2015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Siegel et al. Cancer statistics, 2015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Desantis et al. Breast cancer statistics, 2013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Desantis et al. Cancer statistics for African Americans, 2013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et al. Age-Related Crossover in Breast Cancer Incidence Rates between Black and White Women: Implications for Removing Racial Disparities in Breast Cancer Care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Jemal et al. Cancer statistics, 2009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Jemal et al. Cancer statistics, 2008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Jemal et al. Cancer statistics, 2005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Jemal et al. Cancer Statistics, 2004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Jemal et al. Cancer statistics, 2002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Negoita et al. Annual Report to the Nation on the Status of Cancer, part 2: Early assessment of the COVID-19 pandemic’s impact on cancer diagnosis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et al. Cancer incidence and mortality among Filipinos in the USA and the Philippines: Patterns and trends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Jemal et al. Annual report to the nation on the status of cancer, 1975-2001, with a special feature regarding survival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Jemal et al. Annual Report to the Nation on the Status of Cancer, 19752009, Featuring the Burden and Trends in Human Papillomavirus (HPV)Associated Cancers and HPV Vaccination Coverage Levels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DeSantis et al. Breast cancer statistics, 2011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Siegel et al. Cancer Statistics, 2014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 et al. Annual Report to the Nation on the Status of Cancer, 1975-2007, Featuring Tumors of the Brain and Other Nervous System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Weir et al. Annual report to the nation on the status of cancer, 1975-2000, featuring the uses of surveillance data for cancer prevention and control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Jemal et al. Annual Report to the Nation on the Status of Cancer, 1975-2005, Featuring Trends in Lung Cancer, Tobacco Use, and Tobacco Control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Siegel et al. Cancer statistics, 2013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Siegel et al. Cancer statistics for Hispanics/Latinos, 2012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et al. Annual Report to the Nation on the status of cancer, 1975-2008, featuring cancers associated with excess weight and lack of sufficient physical activity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O'Brien et al. Cancer statistics for Hispanics, 2003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Jatoi et al. Breast cancer trends among black and white women in the United States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Nazario et al. Breast cancer patterns and lifetime risk of developing breast cancer among Puerto Rican females.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Day et al. Women's cancers among Alaska Natives 1969-2003.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Pike et al. Breast cancer in a multiethnic cohort in Hawaii and Los Angeles: Risk factor-adjusted incidence in Japanese equals and in Hawaiians exceeds that in whites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Kelly et al. Women's cancers among Alaska Natives: [corrected] 1969-2003.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 et al. Rural–urban disparities in breast cancer incidence among US women aged 20–49: trends by race/ethnicity, stage, poverty, and state from 2000–2019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et al. Incidence trends in triple-negative breast cancer among women in the United States from 2010 to 2019 by race/ethnicity, age and tumor stage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Han et al. Time trends and racial differences in female breast cancer incidence in Pennsylvania, 1985-2004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Foote et al. Improving cancer incidence estimates for American Indians in Wisconsin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4. Registry overlap and representative selection</w:t>
      </w:r>
    </w:p>
    <w:p>
      <w:pPr>
        <w:spacing w:after="80"/>
      </w:pPr>
      <w:r>
        <w:rPr>
          <w:rFonts w:ascii="Malgun Gothic" w:cs="Malgun Gothic" w:eastAsia="Malgun Gothic" w:hAnsi="Malgun Gothic"/>
          <w:i/>
          <w:iCs/>
          <w:sz w:val="18"/>
          <w:szCs w:val="18"/>
        </w:rPr>
        <w:t xml:space="preserve">One representative per registry family per analytic cell for the main analysis; overlapping estimates retained for sensitivity.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968"/>
        <w:gridCol w:w="1865"/>
        <w:gridCol w:w="2279"/>
        <w:gridCol w:w="2072"/>
        <w:gridCol w:w="1243"/>
        <w:gridCol w:w="2279"/>
        <w:gridCol w:w="2694"/>
      </w:tblGrid>
      <w:tr>
        <w:trPr>
          <w:tblHeader/>
        </w:trPr>
        <w:tc>
          <w:tcPr>
            <w:tcW w:type="dxa" w:w="196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86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2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07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24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22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69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 provisional)</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 provisional)</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0.755 [0.677, 0.842]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[0.376, 0.673]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0.684 [0.619, 0.756]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0.817 [0.726, 0.920]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 [1.352, 1.739]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[0.944, 0.971]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0.788 [0.780, 0.796]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[0.932, 0.973]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0.756 [0.741, 0.771]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0.852 [0.835, 0.869]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(young)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 [0.90, 1.01]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0.719 [0.637, 0.812]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1.039 [1.003, 1.076]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(young)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 [0.91, 1.14]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0.674 [0.651, 0.697]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0.386 [0.348, 0.428]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1.263 [1.206, 1.323]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1.205 [1.161, 1.251]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0.583 [0.562, 0.605]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disaggregated-MENA</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 [1.48, 4.43]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[1.32, 1.5]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 [1.4, 1.93]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 [1.67, 3.03]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subtype-ERneg-PRpos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subtype-ERpos-PRneg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1.48 [1.29, 1.69]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1.39 [1.12, 1.73]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[1.31, 1.37]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Registries are nested (county ⊂ state ⊂ SEER ⊂ NAACCR ⊂ USCS), so overlapping estimates for the same analytic cell are not independent. For each cell (outcome dimension × group) one representative was kept per registry family, selected by (i) an IRR being computable, (ii) coverage (USCS &gt; NAACCR &gt; SEER-national &gt; state/regional), (iii) most recent end-year then longest span, and (iv) clearest standardization / directly-reported CI.</w:t>
      </w:r>
    </w:p>
    <w:p>
      <w:pPr>
        <w:spacing w:after="80"/>
      </w:pPr>
      <w:r>
        <w:rPr>
          <w:rFonts w:ascii="Malgun Gothic" w:cs="Malgun Gothic" w:eastAsia="Malgun Gothic" w:hAnsi="Malgun Gothic"/>
          <w:i/>
          <w:iCs/>
          <w:sz w:val="18"/>
          <w:szCs w:val="18"/>
        </w:rPr>
        <w:t xml:space="preserve">Main analysis: “yes (representative)” = the estimate carried into the main analysis; “no (overlaps representative)” = collapses to the cell representative and is used only in the all-included sensitivity analysis; “no (AI/AN undercount)” = an unlinked national-registry AI/AN estimate demoted in favour of the IHS-linked representative; “no (registry-direct anchor)” = the SEER-Explorer reference value, not a screened study.</w:t>
      </w:r>
    </w:p>
    <w:p>
      <w:r>
        <w:br w:type="page"/>
      </w:r>
    </w:p>
    <w:p>
      <w:pPr>
        <w:pStyle w:val="Heading1"/>
        <w:spacing w:after="100" w:before="200"/>
      </w:pPr>
      <w:r>
        <w:rPr>
          <w:rFonts w:ascii="Malgun Gothic" w:cs="Malgun Gothic" w:eastAsia="Malgun Gothic" w:hAnsi="Malgun Gothic"/>
          <w:b/>
          <w:bCs/>
          <w:sz w:val="24"/>
          <w:szCs w:val="24"/>
        </w:rPr>
        <w:t xml:space="preserve">Supplementary Table 5. Risk of bias (Newcastle-Ottawa Scale, adapted)</w:t>
      </w:r>
    </w:p>
    <w:p>
      <w:pPr>
        <w:spacing w:after="80"/>
      </w:pPr>
      <w:r>
        <w:rPr>
          <w:rFonts w:ascii="Malgun Gothic" w:cs="Malgun Gothic" w:eastAsia="Malgun Gothic" w:hAnsi="Malgun Gothic"/>
          <w:i/>
          <w:iCs/>
          <w:sz w:val="18"/>
          <w:szCs w:val="18"/>
        </w:rPr>
        <w:t xml:space="preserve">Each cell shows 1 where the item was met (blank = not met). Selection (max 4): S1–S4; Comparability (max 2): C1–C2; Outcome (max 3): O1–O3. AI-generated first pass; reviewer to spot-check.</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320"/>
        <w:gridCol w:w="840"/>
        <w:gridCol w:w="840"/>
        <w:gridCol w:w="840"/>
        <w:gridCol w:w="840"/>
        <w:gridCol w:w="840"/>
        <w:gridCol w:w="840"/>
        <w:gridCol w:w="840"/>
        <w:gridCol w:w="840"/>
        <w:gridCol w:w="840"/>
        <w:gridCol w:w="2520"/>
      </w:tblGrid>
      <w:tr>
        <w:trPr>
          <w:tblHeader/>
        </w:trPr>
        <w:tc>
          <w:tcPr>
            <w:tcW w:type="dxa" w:w="4320"/>
            <w:vMerge w:val="restart"/>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Study</w:t>
            </w:r>
          </w:p>
        </w:tc>
        <w:tc>
          <w:tcPr>
            <w:tcW w:type="dxa" w:w="3360"/>
            <w:gridSpan w:val="4"/>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Selection</w:t>
            </w:r>
          </w:p>
        </w:tc>
        <w:tc>
          <w:tcPr>
            <w:tcW w:type="dxa" w:w="1680"/>
            <w:gridSpan w:val="2"/>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Comparability</w:t>
            </w:r>
          </w:p>
        </w:tc>
        <w:tc>
          <w:tcPr>
            <w:tcW w:type="dxa" w:w="2520"/>
            <w:gridSpan w:val="3"/>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Outcome</w:t>
            </w:r>
          </w:p>
        </w:tc>
        <w:tc>
          <w:tcPr>
            <w:tcW w:type="dxa" w:w="2520"/>
            <w:vMerge w:val="restart"/>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Quality</w:t>
            </w:r>
          </w:p>
        </w:tc>
      </w:tr>
      <w:tr>
        <w:trPr>
          <w:tblHeader/>
        </w:trPr>
        <w:tc>
          <w:tcPr>
            <w:vMerge w:val="continue"/>
          </w:tcP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S3</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S4</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C1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C2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O3</w:t>
            </w:r>
          </w:p>
        </w:tc>
        <w:tc>
          <w:tcPr>
            <w:vMerge w:val="continue"/>
          </w:tcP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Howlader 2014</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Davis Lynn 2025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Zhang 2025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Nash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Mills 2005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Nash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Hendrick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Liu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Zahrieh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Xu 2024</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Sung 2023</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Loo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Ellington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Cronin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Baquet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Gleason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Brinton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2026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Anderson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Kong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2017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Keegan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Richardson 2016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Lund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Keegan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Harper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Gopalani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Ihenacho 2023</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Nasseri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Goggins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Yazzie 2025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Xie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Sung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Melkonian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Pinheiro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Kem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Carozza 2006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2003</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Melkonian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Miller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McCracken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Wilkinson 2002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bl>
    <w:p>
      <w:pPr>
        <w:spacing w:after="80"/>
      </w:pPr>
    </w:p>
    <w:p>
      <w:pPr>
        <w:spacing w:after="80"/>
      </w:pPr>
      <w:r>
        <w:rPr>
          <w:rFonts w:ascii="Malgun Gothic" w:cs="Malgun Gothic" w:eastAsia="Malgun Gothic" w:hAnsi="Malgun Gothic"/>
          <w:i/>
          <w:iCs/>
          <w:sz w:val="18"/>
          <w:szCs w:val="18"/>
        </w:rPr>
        <w:t xml:space="preserve">Sel = Selection (max 4 stars): (1) representativeness — defined population-based registry; (2) sample size — adequate case count for a stable age-adjusted rate (national/multi-registry or ≥50 cases); (3) ascertainment of race/ethnicity — standard registry coding or IHS/tribal linkage (surname-based or national AI/AN undercount loses the star); (4) case ascertainment completeness (high-completeness registry).</w:t>
      </w:r>
    </w:p>
    <w:p>
      <w:pPr>
        <w:spacing w:after="80"/>
      </w:pPr>
      <w:r>
        <w:rPr>
          <w:rFonts w:ascii="Malgun Gothic" w:cs="Malgun Gothic" w:eastAsia="Malgun Gothic" w:hAnsi="Malgun Gothic"/>
          <w:i/>
          <w:iCs/>
          <w:sz w:val="18"/>
          <w:szCs w:val="18"/>
        </w:rPr>
        <w:t xml:space="preserve">Comp = Comparability (max 2 stars): (1) age-standardization to a stated standard population (e.g., 2000 US); (2) minority and non-Hispanic White comparator from the same standard, diagnosis period and registry (externally-paired comparator loses the star).</w:t>
      </w:r>
    </w:p>
    <w:p>
      <w:pPr>
        <w:spacing w:after="80"/>
      </w:pPr>
      <w:r>
        <w:rPr>
          <w:rFonts w:ascii="Malgun Gothic" w:cs="Malgun Gothic" w:eastAsia="Malgun Gothic" w:hAnsi="Malgun Gothic"/>
          <w:i/>
          <w:iCs/>
          <w:sz w:val="18"/>
          <w:szCs w:val="18"/>
        </w:rPr>
        <w:t xml:space="preserve">Out = Outcome (max 3 stars): (1) outcome assessment — invasive breast cancer via registry/pathology record linkage; (2) statistical reporting — 95% CI or SE reported; (3) appropriate analysis — age-adjusted IRR directly reported or correctly computed with a variance (point-only computation loses the star).</w:t>
      </w:r>
    </w:p>
    <w:p>
      <w:pPr>
        <w:spacing w:after="80"/>
      </w:pPr>
      <w:r>
        <w:rPr>
          <w:rFonts w:ascii="Malgun Gothic" w:cs="Malgun Gothic" w:eastAsia="Malgun Gothic" w:hAnsi="Malgun Gothic"/>
          <w:i/>
          <w:iCs/>
          <w:sz w:val="18"/>
          <w:szCs w:val="18"/>
        </w:rPr>
        <w:t xml:space="preserve">Overall quality (AHRQ thresholds): Good = Selection 3–4 AND Comparability 1–2 AND Outcome 2–3; Fair = Selection 2 AND Comparability 1–2 AND Outcome 2–3; Poor = Selection 0–1 OR Comparability 0 OR Outcome 0–1. The 8 Poor ratings arise where only a point estimate without a confidence interval was available (Outcome = 1). Assessment is an AI-generated first pass for reviewer verification.</w:t>
      </w:r>
    </w:p>
    <w:p>
      <w:r>
        <w:br w:type="page"/>
      </w:r>
    </w:p>
    <w:p>
      <w:pPr>
        <w:pStyle w:val="Heading1"/>
        <w:spacing w:after="100" w:before="200"/>
      </w:pPr>
      <w:r>
        <w:rPr>
          <w:rFonts w:ascii="Malgun Gothic" w:cs="Malgun Gothic" w:eastAsia="Malgun Gothic" w:hAnsi="Malgun Gothic"/>
          <w:b/>
          <w:bCs/>
          <w:sz w:val="24"/>
          <w:szCs w:val="24"/>
        </w:rPr>
        <w:t xml:space="preserve">Supplementary Table 6. Certainty of evidence assessment using a GRADE-informed scoring framework</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000"/>
        <w:gridCol w:w="11400"/>
      </w:tblGrid>
      <w:tr>
        <w:trPr>
          <w:tblHeader/>
        </w:trPr>
        <w:tc>
          <w:tcPr>
            <w:tcW w:type="dxa" w:w="3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Criteria</w:t>
            </w:r>
          </w:p>
        </w:tc>
        <w:tc>
          <w:tcPr>
            <w:tcW w:type="dxa" w:w="114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Descriptions</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Baseline certainty</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All outcomes are bodies of observational, population-based cancer-registry evidence and therefore start at Low (baseline score = 0).</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Based on the adapted Newcastle-Ottawa Scale (Table 5). Downgraded by −1 when the representative study for the outcome was rated Poor.</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Inconsistency</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overlapping estimates for the same cell disagreed in the direction of effect. The very high I² among overlapping registry estimates was NOT treated as inconsistency, because it reflects repeated inclusion of non-independent, nested registry data rather than genuine between-study heterogeneity.</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Indirectness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the population, exposure, comparator, or outcome did not directly correspond to the review question. Judged not serious: U.S. population-based registries directly measure age-adjusted invasive breast-cancer incidence by race/ethnicity versus non-Hispanic White.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Imprecision</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the 95% confidence interval included the null (IRR = 1.0) for a near-null estimate, or when only a point estimate without a confidence interval was available.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Publication bias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Judged not serious: registry data reflect near-complete (census-like) case ascertainment and are not subject to selective publication of significant results; funnel-plot / Egger assessment is not applicable.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Strength of association</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Upgraded for a large magnitude of effect: +1 when IRR ≤ 0.50 or ≥ 2.00; +2 when IRR ≤ 0.20 or ≥ 5.00, provided residual bias is unlikely to account for it.</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Dose–response / confounding</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applied: these descriptive incidence studies do not assess an exposure gradient, and residual-confounding upgrades were not used.</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Scoring rules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Final certainty from the Low baseline: High (total score ≥ 2), Moderate (1), Low (0), Very low (≤ −1). Per-outcome scores are given in Table 7. Assessment is an AI-generated first pass for reviewer verification.</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7. GRADE certainty of evidence by outcome</w:t>
      </w:r>
    </w:p>
    <w:p>
      <w:pPr>
        <w:spacing w:after="80"/>
      </w:pPr>
      <w:r>
        <w:rPr>
          <w:rFonts w:ascii="Malgun Gothic" w:cs="Malgun Gothic" w:eastAsia="Malgun Gothic" w:hAnsi="Malgun Gothic"/>
          <w:i/>
          <w:iCs/>
          <w:sz w:val="18"/>
          <w:szCs w:val="18"/>
        </w:rPr>
        <w:t xml:space="preserve">Certainty derived with the framework in Table 6. RoB = Newcastle-Ottawa rating of the representative study (Table 5); +Large = large-magnitude upgrade (+1 if IRR ≤ 0.50 or ≥ 2.00; +2 if ≤ 0.20 or ≥ 5.00).</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749"/>
        <w:gridCol w:w="3273"/>
        <w:gridCol w:w="3142"/>
        <w:gridCol w:w="1571"/>
        <w:gridCol w:w="1440"/>
        <w:gridCol w:w="2225"/>
      </w:tblGrid>
      <w:tr>
        <w:trPr>
          <w:tblHeader/>
        </w:trPr>
        <w:tc>
          <w:tcPr>
            <w:tcW w:type="dxa" w:w="274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2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14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c>
          <w:tcPr>
            <w:tcW w:type="dxa" w:w="144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+Large</w:t>
            </w:r>
          </w:p>
        </w:tc>
        <w:tc>
          <w:tcPr>
            <w:tcW w:type="dxa" w:w="222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GRADE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0.788 [0.780, 0.796]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[0.932, 0.973]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0.756 [0.741, 0.771]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0.852 [0.835, 0.869]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(young)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 [0.90, 1.01]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0.719 [0.637, 0.812]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1.039 [1.003, 1.076]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(young)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 [0.91, 1.14]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0.674 [0.651, 0.697]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0.386 [0.348, 0.428]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1.205 [1.161, 1.251]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NR</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0.583 [0.562, 0.605]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disaggregated-MENA</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0.755 [0.677, 0.842]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[0.376, 0.673]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0.684 [0.619, 0.756]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0.817 [0.726, 0.920]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 provisional)</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 provisional)</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subtype-ERneg-PRpos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subtype-ERpos-PRneg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 [1.48, 4.43]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[1.32, 1.5]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 [1.4, 1.93]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 [1.67, 3.03]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[1.31, 1.37]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1.48 [1.29, 1.69]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1.39 [1.12, 1.73]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8. Between-study heterogeneity and estimator comparison</w:t>
      </w:r>
    </w:p>
    <w:p>
      <w:pPr>
        <w:spacing w:after="80"/>
      </w:pPr>
      <w:r>
        <w:rPr>
          <w:rFonts w:ascii="Malgun Gothic" w:cs="Malgun Gothic" w:eastAsia="Malgun Gothic" w:hAnsi="Malgun Gothic"/>
          <w:i/>
          <w:iCs/>
          <w:sz w:val="18"/>
          <w:szCs w:val="18"/>
        </w:rPr>
        <w:t xml:space="preserve">Sensitivity = all overlapping estimates (Paule-Mandel + HKSJ); high I² reflects non-independent registry overlap. Main = one representative per family.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280"/>
        <w:gridCol w:w="2640"/>
        <w:gridCol w:w="840"/>
        <w:gridCol w:w="3600"/>
        <w:gridCol w:w="1080"/>
        <w:gridCol w:w="3960"/>
      </w:tblGrid>
      <w:tr>
        <w:trPr>
          <w:tblHeader/>
        </w:trPr>
        <w:tc>
          <w:tcPr>
            <w:tcW w:type="dxa" w:w="22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64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84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k</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Sensitivity IRR (95% CI)</w:t>
            </w:r>
          </w:p>
        </w:tc>
        <w:tc>
          <w:tcPr>
            <w:tcW w:type="dxa" w:w="10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I²</w:t>
            </w:r>
          </w:p>
        </w:tc>
        <w:tc>
          <w:tcPr>
            <w:tcW w:type="dxa" w:w="396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(0.432-2.412)</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68%</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1.337 (0.258-6.919)</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93%</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(1.142-1.226)</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6</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0.693 (0.58-0.827)</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 (0.55-0.57)</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5</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0.795 (0.7-0.903)</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(0.751-0.787)</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8</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(0.935-0.969)</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97%</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(0.92-0.946)</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6</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0.714 (0.662-0.77)</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(0.706-0.73)</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(0.045-12.907)</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(0.932-0.973)</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(0.001-204.26)</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0.674 (0.651-0.697)</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1.248 (0.983-1.585)</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(1.123-1.305)</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1.695 (0.814-3.533)</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96%</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(1.74-1.853)</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0.759 (0.286-2.02)</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(0.805-0.836)</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0.775 (0.176-3.41)</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(0.855-0.885)</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(0.305-2.091)</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98%</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(0.845-0.875)</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(0.135-3.486)</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(0.765-0.795)</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 (0.539-2.124)</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79%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(1.081-1.161)</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0.794 (0.133-4.731)</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97%</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(0.88-0.941)</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0.712 (0.551-0.92)</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90%</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(0.68-0.72)</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1.952 (1.67-2.283)</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88%</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 (1.925-1.975)</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0.878 (0.746-1.034)</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89%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(0.84-0.88)</w:t>
            </w:r>
          </w:p>
        </w:tc>
      </w:tr>
    </w:tbl>
    <w:p>
      <w:pPr>
        <w:spacing w:after="80"/>
      </w:pPr>
    </w:p>
    <w:p>
      <w:pPr>
        <w:spacing w:after="80"/>
      </w:pPr>
      <w:r>
        <w:rPr>
          <w:rFonts w:ascii="Malgun Gothic" w:cs="Malgun Gothic" w:eastAsia="Malgun Gothic" w:hAnsi="Malgun Gothic"/>
          <w:i/>
          <w:iCs/>
          <w:sz w:val="18"/>
          <w:szCs w:val="18"/>
        </w:rPr>
        <w:t xml:space="preserve">k = number of overlapping estimates pooled. Sensitivity IRR = all k estimates pooled with a Paule-Mandel τ² and a Hartung-Knapp-Sidik-Jonkman confidence interval. I² is the sensitivity (all-included) value; the very high I² reflects repeated inclusion of non-independent, overlapping registry data rather than genuine between-study heterogeneity. Main IRR = the single one-per-registry-family representative, which removes that non-independence. For cells with k &lt; 3 the HKSJ interval (t-distribution with k−1 df) is unstable and over-wide, so the point estimate should be read rather than the interval. Only cells with ≥ 2 overlapping estimates appear here.</w:t>
      </w:r>
    </w:p>
    <w:p>
      <w:pPr>
        <w:spacing w:after="80"/>
      </w:pPr>
      <w:r>
        <w:rPr>
          <w:rFonts w:ascii="Malgun Gothic" w:cs="Malgun Gothic" w:eastAsia="Malgun Gothic" w:hAnsi="Malgun Gothic"/>
          <w:i/>
          <w:iCs/>
          <w:sz w:val="18"/>
          <w:szCs w:val="18"/>
        </w:rPr>
        <w:t xml:space="preserve">Estimator comparison (τ² method and confidence-interval method) for every cell with ≥2 overlapping estimates. Cells marked * have k &lt; 3, where the Hartung-Knapp interval (t with k−1 df) is unstable; read the point estimate.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618"/>
        <w:gridCol w:w="655"/>
        <w:gridCol w:w="3164"/>
        <w:gridCol w:w="982"/>
        <w:gridCol w:w="3164"/>
        <w:gridCol w:w="982"/>
        <w:gridCol w:w="2073"/>
        <w:gridCol w:w="764"/>
      </w:tblGrid>
      <w:tr>
        <w:trPr>
          <w:tblHeader/>
        </w:trPr>
        <w:tc>
          <w:tcPr>
            <w:tcW w:type="dxa" w:w="261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65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k</w:t>
            </w:r>
          </w:p>
        </w:tc>
        <w:tc>
          <w:tcPr>
            <w:tcW w:type="dxa" w:w="316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DerSimonian-Laird IRR (95% CI)</w:t>
            </w:r>
          </w:p>
        </w:tc>
        <w:tc>
          <w:tcPr>
            <w:tcW w:type="dxa" w:w="98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DL τ²</w:t>
            </w:r>
          </w:p>
        </w:tc>
        <w:tc>
          <w:tcPr>
            <w:tcW w:type="dxa" w:w="316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Paule-Mandel / REML IRR (95% CI)</w:t>
            </w:r>
          </w:p>
        </w:tc>
        <w:tc>
          <w:tcPr>
            <w:tcW w:type="dxa" w:w="98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PM τ²</w:t>
            </w:r>
          </w:p>
        </w:tc>
        <w:tc>
          <w:tcPr>
            <w:tcW w:type="dxa" w:w="20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HKSJ 95% CI</w:t>
            </w:r>
          </w:p>
        </w:tc>
        <w:tc>
          <w:tcPr>
            <w:tcW w:type="dxa" w:w="76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I²</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6</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0.693 (0.602-0.797)</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0.0299</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0.693 (0.605-0.793)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0.0276</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0.580-0.827</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5</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0.795 (0.732-0.864)</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0.0088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0.795 (0.727-0.870)</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0.0104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0.700-0.903</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(0.937-0.967)</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0.0005</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(0.938-0.966)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0.935-0.969</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97%</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6</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0.714 (0.682-0.748)</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0.0033</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0.714 (0.674-0.757)</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0.0052</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0.662-0.770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0.714 (0.645-0.790)</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0.712 (0.634-0.801)</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0.0094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0.551-0.920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90%</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1.958 (1.856-2.066)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0.0018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1.952 (1.818-2.096)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0.0035</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1.670-2.283</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88%</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0.878 (0.818-0.944)</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0.0034</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0.878 (0.815-0.946)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0.0037</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0.746-1.034</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89%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(0.894-1.166)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(0.894-1.166)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0.0062</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0.432-2.412</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68%</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1.337 (1.037-1.723)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0.0314</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1.337 (1.037-1.723)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0.0314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0.258-6.919</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93%</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(0.494-1.181)</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0.0981</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(0.494-1.181)</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0.0981</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0.045-12.907</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(0.159-1.079)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0.4740</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(0.159-1.079)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0.4740</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0.001-204.260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1.248 (1.200-1.299)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0.0000</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1.248 (1.200-1.299)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0.0000</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0.983-1.585</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1.695 (1.514-1.899)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0.0064</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1.695 (1.514-1.899)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0.814-3.533</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96%</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0.759 (0.653-0.883)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0.0117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0.759 (0.653-0.883)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0.0117</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0.286-2.020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0.775 (0.616-0.974)</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0.0270</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0.775 (0.616-0.974)</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0.0270</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0.176-3.410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(0.688-0.926)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0.0113</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(0.688-0.926)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0.0113</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0.305-2.091</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98%</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(0.535-0.882)</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0.0325</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(0.535-0.882)</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0.0325</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0.135-3.486</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1.070 (0.962-1.189)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0.0047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1.070 (0.962-1.189)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0.0047</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0.539-2.124</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79%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0.794 (0.603-1.045)</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0.0382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0.794 (0.603-1.045)</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0.0382</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0.133-4.731</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97%</w:t>
            </w:r>
          </w:p>
        </w:tc>
      </w:tr>
    </w:tbl>
    <w:p>
      <w:pPr>
        <w:spacing w:after="80"/>
      </w:pPr>
    </w:p>
    <w:p>
      <w:pPr>
        <w:spacing w:after="80"/>
      </w:pPr>
      <w:r>
        <w:rPr>
          <w:rFonts w:ascii="Malgun Gothic" w:cs="Malgun Gothic" w:eastAsia="Malgun Gothic" w:hAnsi="Malgun Gothic"/>
          <w:i/>
          <w:iCs/>
          <w:sz w:val="18"/>
          <w:szCs w:val="18"/>
        </w:rPr>
        <w:t xml:space="preserve">Across the four cells with ≥3 estimates (Black, Hispanic, Asian/Pacific Islander, American Indian/Alaska Native), the DerSimonian-Laird and Paule-Mandel/REML pooled IRRs differ by ≤0.001, and the Hartung-Knapp interval is wider than the z-based interval; the pooled estimate is therefore robust to the choice of τ² estimator and interval method. The main analysis nonetheless relies on one representative per registry family rather than these pooled values, because the estimates are not independent.</w:t>
      </w:r>
    </w:p>
    <w:p>
      <w:r>
        <w:br w:type="page"/>
      </w:r>
    </w:p>
    <w:p>
      <w:pPr>
        <w:pStyle w:val="Heading1"/>
        <w:spacing w:after="100" w:before="200"/>
      </w:pPr>
      <w:r>
        <w:rPr>
          <w:rFonts w:ascii="Malgun Gothic" w:cs="Malgun Gothic" w:eastAsia="Malgun Gothic" w:hAnsi="Malgun Gothic"/>
          <w:b/>
          <w:bCs/>
          <w:sz w:val="24"/>
          <w:szCs w:val="24"/>
        </w:rPr>
        <w:t xml:space="preserve">Supplementary Table 9. Sensitivity analyses</w:t>
      </w:r>
    </w:p>
    <w:p>
      <w:pPr>
        <w:spacing w:after="80"/>
      </w:pPr>
      <w:r>
        <w:rPr>
          <w:rFonts w:ascii="Malgun Gothic" w:cs="Malgun Gothic" w:eastAsia="Malgun Gothic" w:hAnsi="Malgun Gothic"/>
          <w:i w:val="false"/>
          <w:iCs w:val="false"/>
          <w:sz w:val="18"/>
          <w:szCs w:val="18"/>
        </w:rPr>
        <w:t xml:space="preserve">Table 9a. Good-RoB-only (Poor studies dropped): 82 of 90 cells unchanged, 1 changed, 7 dropped — all headline results unchanged.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9b. Directly-reported-only (computed estimates dropped): 51 unchanged, 5 changed, 34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(Good-RoB-only in Table 9a; author-reported IRR/SIR only in Table 9b). Status: unchanged = same study remains the representative; changed = a different study becomes the representative (its IRR is shown); dropped = no eligible estimate remained for that cell (Sens IRR = “–”). Only changed/dropped cells are listed; all others were unchanged, indicating the main results are robust.</w:t>
      </w:r>
    </w:p>
    <w:p>
      <w:r>
        <w:br w:type="page"/>
      </w:r>
    </w:p>
    <w:p>
      <w:pPr>
        <w:pStyle w:val="Heading1"/>
        <w:spacing w:after="100" w:before="200"/>
      </w:pPr>
      <w:r>
        <w:rPr>
          <w:rFonts w:ascii="Malgun Gothic" w:cs="Malgun Gothic" w:eastAsia="Malgun Gothic" w:hAnsi="Malgun Gothic"/>
          <w:b/>
          <w:bCs/>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(for the Methods / Supplementary). Every estimate in</w:t>
      </w:r>
    </w:p>
    <w:p>
      <w:pPr>
        <w:spacing w:after="80"/>
      </w:pPr>
      <w:r>
        <w:rPr>
          <w:rFonts w:ascii="Malgun Gothic" w:cs="Malgun Gothic" w:eastAsia="Malgun Gothic" w:hAnsi="Malgun Gothic"/>
          <w:i w:val="false"/>
          <w:iCs w:val="false"/>
          <w:sz w:val="18"/>
          <w:szCs w:val="18"/>
        </w:rPr>
        <w:t xml:space="preserve">`breast_extraction.csv` whose IRR was not printed as-is by the study is</w:t>
      </w:r>
    </w:p>
    <w:p>
      <w:pPr>
        <w:spacing w:after="80"/>
      </w:pPr>
      <w:r>
        <w:rPr>
          <w:rFonts w:ascii="Malgun Gothic" w:cs="Malgun Gothic" w:eastAsia="Malgun Gothic" w:hAnsi="Malgun Gothic"/>
          <w:i w:val="false"/>
          <w:iCs w:val="false"/>
          <w:sz w:val="18"/>
          <w:szCs w:val="18"/>
        </w:rPr>
        <w:t xml:space="preserve">listed here with exactly how it was derived, so each is reproducible and</w:t>
      </w:r>
    </w:p>
    <w:p>
      <w:pPr>
        <w:spacing w:after="80"/>
      </w:pPr>
      <w:r>
        <w:rPr>
          <w:rFonts w:ascii="Malgun Gothic" w:cs="Malgun Gothic" w:eastAsia="Malgun Gothic" w:hAnsi="Malgun Gothic"/>
          <w:i w:val="false"/>
          <w:iCs w:val="false"/>
          <w:sz w:val="18"/>
          <w:szCs w:val="18"/>
        </w:rPr>
        <w:t xml:space="preserve">auditable. Rows whose `provenance` is `directly-reported-IRR` / `-SIR` are</w:t>
      </w:r>
    </w:p>
    <w:p>
      <w:pPr>
        <w:spacing w:after="80"/>
      </w:pPr>
      <w:r>
        <w:rPr>
          <w:rFonts w:ascii="Malgun Gothic" w:cs="Malgun Gothic" w:eastAsia="Malgun Gothic" w:hAnsi="Malgun Gothic"/>
          <w:i w:val="false"/>
          <w:iCs w:val="false"/>
          <w:sz w:val="18"/>
          <w:szCs w:val="18"/>
        </w:rPr>
        <w:t xml:space="preserve">taken verbatim from the paper and are NOT in this log.</w:t>
      </w:r>
    </w:p>
    <w:p>
      <w:pPr>
        <w:pStyle w:val="Heading2"/>
        <w:spacing w:after="100" w:before="200"/>
      </w:pPr>
      <w:r>
        <w:rPr>
          <w:rFonts w:ascii="Malgun Gothic" w:cs="Malgun Gothic" w:eastAsia="Malgun Gothic" w:hAnsi="Malgun Gothic"/>
          <w:b/>
          <w:bCs/>
          <w:sz w:val="20"/>
          <w:szCs w:val="20"/>
        </w:rPr>
        <w:t xml:space="preserve">1. Age-standardization from age-specific rates</w:t>
      </w:r>
    </w:p>
    <w:p>
      <w:pPr>
        <w:spacing w:after="80"/>
      </w:pPr>
      <w:r>
        <w:rPr>
          <w:rFonts w:ascii="Malgun Gothic" w:cs="Malgun Gothic" w:eastAsia="Malgun Gothic" w:hAnsi="Malgun Gothic"/>
          <w:i w:val="false"/>
          <w:iCs w:val="false"/>
          <w:sz w:val="18"/>
          <w:szCs w:val="18"/>
        </w:rPr>
        <w:t xml:space="preserve">• (Howlader 2014, Suppl Table 3). The supplement reports 5-year</w:t>
      </w:r>
    </w:p>
    <w:p>
      <w:pPr>
        <w:spacing w:after="80"/>
      </w:pPr>
      <w:r>
        <w:rPr>
          <w:rFonts w:ascii="Malgun Gothic" w:cs="Malgun Gothic" w:eastAsia="Malgun Gothic" w:hAnsi="Malgun Gothic"/>
          <w:i w:val="false"/>
          <w:iCs w:val="false"/>
          <w:sz w:val="18"/>
          <w:szCs w:val="18"/>
        </w:rPr>
        <w:t xml:space="preserve">• age-specific incidence rates (ages 20–85+) by race × subtype, not a single</w:t>
      </w:r>
    </w:p>
    <w:p>
      <w:pPr>
        <w:spacing w:after="80"/>
      </w:pPr>
      <w:r>
        <w:rPr>
          <w:rFonts w:ascii="Malgun Gothic" w:cs="Malgun Gothic" w:eastAsia="Malgun Gothic" w:hAnsi="Malgun Gothic"/>
          <w:i w:val="false"/>
          <w:iCs w:val="false"/>
          <w:sz w:val="18"/>
          <w:szCs w:val="18"/>
        </w:rPr>
        <w:t xml:space="preserve">• age-adjusted rate. We age-standardized each race's 14 age-specific rates to</w:t>
      </w:r>
    </w:p>
    <w:p>
      <w:pPr>
        <w:spacing w:after="80"/>
      </w:pPr>
      <w:r>
        <w:rPr>
          <w:rFonts w:ascii="Malgun Gothic" w:cs="Malgun Gothic" w:eastAsia="Malgun Gothic" w:hAnsi="Malgun Gothic"/>
          <w:i w:val="false"/>
          <w:iCs w:val="false"/>
          <w:sz w:val="18"/>
          <w:szCs w:val="18"/>
        </w:rPr>
        <w:t xml:space="preserve">• the 2000 US standard population (Census P25-1130 weights for the 20–85+</w:t>
      </w:r>
    </w:p>
    <w:p>
      <w:pPr>
        <w:spacing w:after="80"/>
      </w:pPr>
      <w:r>
        <w:rPr>
          <w:rFonts w:ascii="Malgun Gothic" w:cs="Malgun Gothic" w:eastAsia="Malgun Gothic" w:hAnsi="Malgun Gothic"/>
          <w:i w:val="false"/>
          <w:iCs w:val="false"/>
          <w:sz w:val="18"/>
          <w:szCs w:val="18"/>
        </w:rPr>
        <w:t xml:space="preserve">• groups): std_rate = Σ(rate_i·w_i)/Σw_i. IRR = minority_std / NHW_std.</w:t>
      </w:r>
    </w:p>
    <w:p>
      <w:pPr>
        <w:spacing w:after="80"/>
      </w:pPr>
      <w:r>
        <w:rPr>
          <w:rFonts w:ascii="Malgun Gothic" w:cs="Malgun Gothic" w:eastAsia="Malgun Gothic" w:hAnsi="Malgun Gothic"/>
          <w:i w:val="false"/>
          <w:iCs w:val="false"/>
          <w:sz w:val="18"/>
          <w:szCs w:val="18"/>
        </w:rPr>
        <w:t xml:space="preserve">• Alignment verified against printed anchors (HR+/HER2− NHW 45–49 = 128.2,</w:t>
      </w:r>
    </w:p>
    <w:p>
      <w:pPr>
        <w:spacing w:after="80"/>
      </w:pPr>
      <w:r>
        <w:rPr>
          <w:rFonts w:ascii="Malgun Gothic" w:cs="Malgun Gothic" w:eastAsia="Malgun Gothic" w:hAnsi="Malgun Gothic"/>
          <w:i w:val="false"/>
          <w:iCs w:val="false"/>
          <w:sz w:val="18"/>
          <w:szCs w:val="18"/>
        </w:rPr>
        <w:t xml:space="preserve">• 75–79 = 342.7; TNBC NHW 35–39 = 9.7).</w:t>
      </w:r>
    </w:p>
    <w:p>
      <w:pPr>
        <w:spacing w:after="80"/>
      </w:pPr>
      <w:r>
        <w:rPr>
          <w:rFonts w:ascii="Malgun Gothic" w:cs="Malgun Gothic" w:eastAsia="Malgun Gothic" w:hAnsi="Malgun Gothic"/>
          <w:i w:val="false"/>
          <w:iCs w:val="false"/>
          <w:sz w:val="18"/>
          <w:szCs w:val="18"/>
        </w:rPr>
        <w:t xml:space="preserve">• 95% CIs computed by variance propagation. Suppl Table 3 reports a 95% CI</w:t>
      </w:r>
    </w:p>
    <w:p>
      <w:pPr>
        <w:spacing w:after="80"/>
      </w:pPr>
      <w:r>
        <w:rPr>
          <w:rFonts w:ascii="Malgun Gothic" w:cs="Malgun Gothic" w:eastAsia="Malgun Gothic" w:hAnsi="Malgun Gothic"/>
          <w:i w:val="false"/>
          <w:iCs w:val="false"/>
          <w:sz w:val="18"/>
          <w:szCs w:val="18"/>
        </w:rPr>
        <w:t xml:space="preserve">• for every age-specific rate (Fig 1 footnote points to it). SE per band =</w:t>
      </w:r>
    </w:p>
    <w:p>
      <w:pPr>
        <w:spacing w:after="80"/>
      </w:pPr>
      <w:r>
        <w:rPr>
          <w:rFonts w:ascii="Malgun Gothic" w:cs="Malgun Gothic" w:eastAsia="Malgun Gothic" w:hAnsi="Malgun Gothic"/>
          <w:i w:val="false"/>
          <w:iCs w:val="false"/>
          <w:sz w:val="18"/>
          <w:szCs w:val="18"/>
        </w:rPr>
        <w:t xml:space="preserve">• (hi−lo)/(2·1.96); Var(std_rate) = Σ(w_i/Σw)²·SE_i²; SE(logIRR) =</w:t>
      </w:r>
    </w:p>
    <w:p>
      <w:pPr>
        <w:spacing w:after="80"/>
      </w:pPr>
      <w:r>
        <w:rPr>
          <w:rFonts w:ascii="Malgun Gothic" w:cs="Malgun Gothic" w:eastAsia="Malgun Gothic" w:hAnsi="Malgun Gothic"/>
          <w:i w:val="false"/>
          <w:iCs w:val="false"/>
          <w:sz w:val="18"/>
          <w:szCs w:val="18"/>
        </w:rPr>
        <w:t xml:space="preserve">• √[(SE_min/std_min)² + (SE_nhw/std_nhw)²]. Provenance =</w:t>
      </w:r>
    </w:p>
    <w:p>
      <w:pPr>
        <w:spacing w:after="80"/>
      </w:pPr>
      <w:r>
        <w:rPr>
          <w:rFonts w:ascii="Malgun Gothic" w:cs="Malgun Gothic" w:eastAsia="Malgun Gothic" w:hAnsi="Malgun Gothic"/>
          <w:i w:val="false"/>
          <w:iCs w:val="false"/>
          <w:sz w:val="18"/>
          <w:szCs w:val="18"/>
        </w:rPr>
        <w:t xml:space="preserve">• `computed-from-rates-with-CI`. (Earlier this cell was carried as point-only;</w:t>
      </w:r>
    </w:p>
    <w:p>
      <w:pPr>
        <w:spacing w:after="80"/>
      </w:pPr>
      <w:r>
        <w:rPr>
          <w:rFonts w:ascii="Malgun Gothic" w:cs="Malgun Gothic" w:eastAsia="Malgun Gothic" w:hAnsi="Malgun Gothic"/>
          <w:i w:val="false"/>
          <w:iCs w:val="false"/>
          <w:sz w:val="18"/>
          <w:szCs w:val="18"/>
        </w:rPr>
        <w:t xml:space="preserve">• the rate CIs in Suppl Table 3 had been overlooked at extraction and are now</w:t>
      </w:r>
    </w:p>
    <w:p>
      <w:pPr>
        <w:spacing w:after="80"/>
      </w:pPr>
      <w:r>
        <w:rPr>
          <w:rFonts w:ascii="Malgun Gothic" w:cs="Malgun Gothic" w:eastAsia="Malgun Gothic" w:hAnsi="Malgun Gothic"/>
          <w:i w:val="false"/>
          <w:iCs w:val="false"/>
          <w:sz w:val="18"/>
          <w:szCs w:val="18"/>
        </w:rPr>
        <w:t xml:space="preserve">• propagated — e.g. TNBC Black 1.82 [1.70, 1.95], HR+/HER2− API 0.69</w:t>
      </w:r>
    </w:p>
    <w:p>
      <w:pPr>
        <w:spacing w:after="80"/>
      </w:pPr>
      <w:r>
        <w:rPr>
          <w:rFonts w:ascii="Malgun Gothic" w:cs="Malgun Gothic" w:eastAsia="Malgun Gothic" w:hAnsi="Malgun Gothic"/>
          <w:i w:val="false"/>
          <w:iCs w:val="false"/>
          <w:sz w:val="18"/>
          <w:szCs w:val="18"/>
        </w:rPr>
        <w:t xml:space="preserve">• [0.66, 0.72].)</w:t>
      </w:r>
    </w:p>
    <w:p>
      <w:pPr>
        <w:spacing w:after="80"/>
      </w:pPr>
      <w:r>
        <w:rPr>
          <w:rFonts w:ascii="Malgun Gothic" w:cs="Malgun Gothic" w:eastAsia="Malgun Gothic" w:hAnsi="Malgun Gothic"/>
          <w:i w:val="false"/>
          <w:iCs w:val="false"/>
          <w:sz w:val="18"/>
          <w:szCs w:val="18"/>
        </w:rPr>
        <w:t xml:space="preserve">• IRR is invariant to the 20+ vs all-age standard (ages 0–19 contribute ≈0 to</w:t>
      </w:r>
    </w:p>
    <w:p>
      <w:pPr>
        <w:spacing w:after="80"/>
      </w:pPr>
      <w:r>
        <w:rPr>
          <w:rFonts w:ascii="Malgun Gothic" w:cs="Malgun Gothic" w:eastAsia="Malgun Gothic" w:hAnsi="Malgun Gothic"/>
          <w:i w:val="false"/>
          <w:iCs w:val="false"/>
          <w:sz w:val="18"/>
          <w:szCs w:val="18"/>
        </w:rPr>
        <w:t xml:space="preserve">• both numerator and denominator).</w:t>
      </w:r>
    </w:p>
    <w:p>
      <w:pPr>
        <w:pStyle w:val="Heading2"/>
        <w:spacing w:after="100" w:before="200"/>
      </w:pPr>
      <w:r>
        <w:rPr>
          <w:rFonts w:ascii="Malgun Gothic" w:cs="Malgun Gothic" w:eastAsia="Malgun Gothic" w:hAnsi="Malgun Gothic"/>
          <w:b/>
          <w:bCs/>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w:t>
      </w:r>
    </w:p>
    <w:p>
      <w:pPr>
        <w:spacing w:after="80"/>
      </w:pPr>
      <w:r>
        <w:rPr>
          <w:rFonts w:ascii="Malgun Gothic" w:cs="Malgun Gothic" w:eastAsia="Malgun Gothic" w:hAnsi="Malgun Gothic"/>
          <w:i w:val="false"/>
          <w:iCs w:val="false"/>
          <w:sz w:val="18"/>
          <w:szCs w:val="18"/>
        </w:rPr>
        <w:t xml:space="preserve">sqrt(SE_min² + SE_nhw²), SE(log rate) = (ln hi − ln lo)/(2·1.96); provenance</w:t>
      </w:r>
    </w:p>
    <w:p>
      <w:pPr>
        <w:spacing w:after="80"/>
      </w:pPr>
      <w:r>
        <w:rPr>
          <w:rFonts w:ascii="Malgun Gothic" w:cs="Malgun Gothic" w:eastAsia="Malgun Gothic" w:hAnsi="Malgun Gothic"/>
          <w:i w:val="false"/>
          <w:iCs w:val="false"/>
          <w:sz w:val="18"/>
          <w:szCs w:val="18"/>
        </w:rPr>
        <w:t xml:space="preserve">`computed-from-rates-with-CI`. Rate without CI → point IRR only; provenance</w:t>
      </w:r>
    </w:p>
    <w:p>
      <w:pPr>
        <w:spacing w:after="80"/>
      </w:pPr>
      <w:r>
        <w:rPr>
          <w:rFonts w:ascii="Malgun Gothic" w:cs="Malgun Gothic" w:eastAsia="Malgun Gothic" w:hAnsi="Malgun Gothic"/>
          <w:i w:val="false"/>
          <w:iCs w:val="false"/>
          <w:sz w:val="18"/>
          <w:szCs w:val="18"/>
        </w:rPr>
        <w:t xml:space="preserve">`computed-from-rates`. Complete lists (auto-generated from the ledger):</w:t>
      </w:r>
    </w:p>
    <w:p>
      <w:pPr>
        <w:spacing w:after="80"/>
      </w:pPr>
      <w:r>
        <w:rPr>
          <w:rFonts w:ascii="Malgun Gothic" w:cs="Malgun Gothic" w:eastAsia="Malgun Gothic" w:hAnsi="Malgun Gothic"/>
          <w:i w:val="false"/>
          <w:iCs w:val="false"/>
          <w:sz w:val="18"/>
          <w:szCs w:val="18"/>
        </w:rPr>
        <w:t xml:space="preserve">• with CI: Howlader 2014, Davis Lynn 2025, Gomez 2026, Ihenacho 2023, Xie 2022, Pinheiro 2009, Gomez 2003, Miller 2008.</w:t>
      </w:r>
    </w:p>
    <w:p>
      <w:pPr>
        <w:spacing w:after="80"/>
      </w:pPr>
      <w:r>
        <w:rPr>
          <w:rFonts w:ascii="Malgun Gothic" w:cs="Malgun Gothic" w:eastAsia="Malgun Gothic" w:hAnsi="Malgun Gothic"/>
          <w:i w:val="false"/>
          <w:iCs w:val="false"/>
          <w:sz w:val="18"/>
          <w:szCs w:val="18"/>
        </w:rPr>
        <w:t xml:space="preserve">• point only (no CI): Liu 2012, Anderson 2008, Keegan 2010, Richardson 2016, Lund 2010,</w:t>
      </w:r>
    </w:p>
    <w:p>
      <w:pPr>
        <w:spacing w:after="80"/>
      </w:pPr>
      <w:r>
        <w:rPr>
          <w:rFonts w:ascii="Malgun Gothic" w:cs="Malgun Gothic" w:eastAsia="Malgun Gothic" w:hAnsi="Malgun Gothic"/>
          <w:i w:val="false"/>
          <w:iCs w:val="false"/>
          <w:sz w:val="18"/>
          <w:szCs w:val="18"/>
        </w:rPr>
        <w:t xml:space="preserve">• Keegan 2007, Harper 2009, Gopalani 2020, McCracken 2007.</w:t>
      </w:r>
    </w:p>
    <w:p>
      <w:pPr>
        <w:spacing w:after="80"/>
      </w:pPr>
      <w:r>
        <w:rPr>
          <w:rFonts w:ascii="Malgun Gothic" w:cs="Malgun Gothic" w:eastAsia="Malgun Gothic" w:hAnsi="Malgun Gothic"/>
          <w:i w:val="false"/>
          <w:iCs w:val="false"/>
          <w:sz w:val="18"/>
          <w:szCs w:val="18"/>
        </w:rPr>
        <w:t xml:space="preserve">• Elaborated elsewhere: (§1), Gomez 2026 &amp; (§4).</w:t>
      </w:r>
    </w:p>
    <w:p>
      <w:pPr>
        <w:spacing w:after="80"/>
      </w:pPr>
      <w:r>
        <w:rPr>
          <w:rFonts w:ascii="Malgun Gothic" w:cs="Malgun Gothic" w:eastAsia="Malgun Gothic" w:hAnsi="Malgun Gothic"/>
          <w:i w:val="false"/>
          <w:iCs w:val="false"/>
          <w:sz w:val="18"/>
          <w:szCs w:val="18"/>
        </w:rPr>
        <w:t xml:space="preserve">• Davis Lynn 2025 rates use the Segi world 1960 standard (ages 20–74), not 2000 US</w:t>
      </w:r>
    </w:p>
    <w:p>
      <w:pPr>
        <w:spacing w:after="80"/>
      </w:pPr>
      <w:r>
        <w:rPr>
          <w:rFonts w:ascii="Malgun Gothic" w:cs="Malgun Gothic" w:eastAsia="Malgun Gothic" w:hAnsi="Malgun Gothic"/>
          <w:i w:val="false"/>
          <w:iCs w:val="false"/>
          <w:sz w:val="18"/>
          <w:szCs w:val="18"/>
        </w:rPr>
        <w:t xml:space="preserve">• — IRR still comparable (ratio), absolute scale differs (flagged in-row).</w:t>
      </w:r>
    </w:p>
    <w:p>
      <w:pPr>
        <w:spacing w:after="80"/>
      </w:pPr>
      <w:r>
        <w:rPr>
          <w:rFonts w:ascii="Malgun Gothic" w:cs="Malgun Gothic" w:eastAsia="Malgun Gothic" w:hAnsi="Malgun Gothic"/>
          <w:i w:val="false"/>
          <w:iCs w:val="false"/>
          <w:sz w:val="18"/>
          <w:szCs w:val="18"/>
        </w:rPr>
        <w:t xml:space="preserve">• Anderson 2008, Richardson 2016 use "White"/"Black" not NH-stratified (Richardson 2016 White incl.</w:t>
      </w:r>
    </w:p>
    <w:p>
      <w:pPr>
        <w:spacing w:after="80"/>
      </w:pPr>
      <w:r>
        <w:rPr>
          <w:rFonts w:ascii="Malgun Gothic" w:cs="Malgun Gothic" w:eastAsia="Malgun Gothic" w:hAnsi="Malgun Gothic"/>
          <w:i w:val="false"/>
          <w:iCs w:val="false"/>
          <w:sz w:val="18"/>
          <w:szCs w:val="18"/>
        </w:rPr>
        <w:t xml:space="preserve">• Hispanic); Anderson 2008 is the crossover from printed age-specific rates, no ratio CI.</w:t>
      </w:r>
    </w:p>
    <w:p>
      <w:pPr>
        <w:spacing w:after="80"/>
      </w:pPr>
      <w:r>
        <w:rPr>
          <w:rFonts w:ascii="Malgun Gothic" w:cs="Malgun Gothic" w:eastAsia="Malgun Gothic" w:hAnsi="Malgun Gothic"/>
          <w:i w:val="false"/>
          <w:iCs w:val="false"/>
          <w:sz w:val="18"/>
          <w:szCs w:val="18"/>
        </w:rPr>
        <w:t xml:space="preserve">• Gopalani 2020 NHW (130.4) is from the same paper (Gopalani 2020), not external.</w:t>
      </w:r>
    </w:p>
    <w:p>
      <w:pPr>
        <w:pStyle w:val="Heading2"/>
        <w:spacing w:after="100" w:before="200"/>
      </w:pPr>
      <w:r>
        <w:rPr>
          <w:rFonts w:ascii="Malgun Gothic" w:cs="Malgun Gothic" w:eastAsia="Malgun Gothic" w:hAnsi="Malgun Gothic"/>
          <w:b/>
          <w:bCs/>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 Brinton 2008, 182. No ratio CI printed but case counts are. SE(logIRR) =</w:t>
      </w:r>
    </w:p>
    <w:p>
      <w:pPr>
        <w:spacing w:after="80"/>
      </w:pPr>
      <w:r>
        <w:rPr>
          <w:rFonts w:ascii="Malgun Gothic" w:cs="Malgun Gothic" w:eastAsia="Malgun Gothic" w:hAnsi="Malgun Gothic"/>
          <w:i w:val="false"/>
          <w:iCs w:val="false"/>
          <w:sz w:val="18"/>
          <w:szCs w:val="18"/>
        </w:rPr>
        <w:t xml:space="preserve">• sqrt(1/D_min + 1/D_nhw) (D = cases); provenance `computed-from-rates-Poisson-SE`.</w:t>
      </w:r>
    </w:p>
    <w:p>
      <w:pPr>
        <w:spacing w:after="80"/>
      </w:pPr>
      <w:r>
        <w:rPr>
          <w:rFonts w:ascii="Malgun Gothic" w:cs="Malgun Gothic" w:eastAsia="Malgun Gothic" w:hAnsi="Malgun Gothic"/>
          <w:i w:val="false"/>
          <w:iCs w:val="false"/>
          <w:sz w:val="18"/>
          <w:szCs w:val="18"/>
        </w:rPr>
        <w:t xml:space="preserve">• (Mills 2005, Hmong-California). Hmong female breast AAIR 23.8 (39</w:t>
      </w:r>
    </w:p>
    <w:p>
      <w:pPr>
        <w:spacing w:after="80"/>
      </w:pPr>
      <w:r>
        <w:rPr>
          <w:rFonts w:ascii="Malgun Gothic" w:cs="Malgun Gothic" w:eastAsia="Malgun Gothic" w:hAnsi="Malgun Gothic"/>
          <w:i w:val="false"/>
          <w:iCs w:val="false"/>
          <w:sz w:val="18"/>
          <w:szCs w:val="18"/>
        </w:rPr>
        <w:t xml:space="preserve">• cases) vs NHW 145.5; only the Hmong case count (39) is available, so SE(logIRR)</w:t>
      </w:r>
    </w:p>
    <w:p>
      <w:pPr>
        <w:spacing w:after="80"/>
      </w:pPr>
      <w:r>
        <w:rPr>
          <w:rFonts w:ascii="Malgun Gothic" w:cs="Malgun Gothic" w:eastAsia="Malgun Gothic" w:hAnsi="Malgun Gothic"/>
          <w:i w:val="false"/>
          <w:iCs w:val="false"/>
          <w:sz w:val="18"/>
          <w:szCs w:val="18"/>
        </w:rPr>
        <w:t xml:space="preserve">• = 1/sqrt(39) = 0.160 with the large NHW denominator treated as fixed</w:t>
      </w:r>
    </w:p>
    <w:p>
      <w:pPr>
        <w:spacing w:after="80"/>
      </w:pPr>
      <w:r>
        <w:rPr>
          <w:rFonts w:ascii="Malgun Gothic" w:cs="Malgun Gothic" w:eastAsia="Malgun Gothic" w:hAnsi="Malgun Gothic"/>
          <w:i w:val="false"/>
          <w:iCs w:val="false"/>
          <w:sz w:val="18"/>
          <w:szCs w:val="18"/>
        </w:rPr>
        <w:t xml:space="preserve">• (1/D_nhw ~ 0). IRR 0.164 (0.120-0.224). Period mismatch (Hmong 1988-2000 vs</w:t>
      </w:r>
    </w:p>
    <w:p>
      <w:pPr>
        <w:spacing w:after="80"/>
      </w:pPr>
      <w:r>
        <w:rPr>
          <w:rFonts w:ascii="Malgun Gothic" w:cs="Malgun Gothic" w:eastAsia="Malgun Gothic" w:hAnsi="Malgun Gothic"/>
          <w:i w:val="false"/>
          <w:iCs w:val="false"/>
          <w:sz w:val="18"/>
          <w:szCs w:val="18"/>
        </w:rPr>
        <w:t xml:space="preserve">• NHW 1995-1999) flagged in-row. Lowest AANHPI subgroup.</w:t>
      </w:r>
    </w:p>
    <w:p>
      <w:pPr>
        <w:spacing w:after="80"/>
      </w:pPr>
      <w:r>
        <w:rPr>
          <w:rFonts w:ascii="Malgun Gothic" w:cs="Malgun Gothic" w:eastAsia="Malgun Gothic" w:hAnsi="Malgun Gothic"/>
          <w:i w:val="false"/>
          <w:iCs w:val="false"/>
          <w:sz w:val="18"/>
          <w:szCs w:val="18"/>
        </w:rPr>
        <w:t xml:space="preserve">• (Kem 2007, Cambodian CA+PugetSound). Author-reported Cambodian/</w:t>
      </w:r>
    </w:p>
    <w:p>
      <w:pPr>
        <w:spacing w:after="80"/>
      </w:pPr>
      <w:r>
        <w:rPr>
          <w:rFonts w:ascii="Malgun Gothic" w:cs="Malgun Gothic" w:eastAsia="Malgun Gothic" w:hAnsi="Malgun Gothic"/>
          <w:i w:val="false"/>
          <w:iCs w:val="false"/>
          <w:sz w:val="18"/>
          <w:szCs w:val="18"/>
        </w:rPr>
        <w:t xml:space="preserve">• White ratio 0.26 (uses the surname-method "high rate" 41.0 / NHW 155.5); the</w:t>
      </w:r>
    </w:p>
    <w:p>
      <w:pPr>
        <w:spacing w:after="80"/>
      </w:pPr>
      <w:r>
        <w:rPr>
          <w:rFonts w:ascii="Malgun Gothic" w:cs="Malgun Gothic" w:eastAsia="Malgun Gothic" w:hAnsi="Malgun Gothic"/>
          <w:i w:val="false"/>
          <w:iCs w:val="false"/>
          <w:sz w:val="18"/>
          <w:szCs w:val="18"/>
        </w:rPr>
        <w:t xml:space="preserve">• high/low rate bracket 34.8-41.0 is an ethnic-identification uncertainty range,</w:t>
      </w:r>
    </w:p>
    <w:p>
      <w:pPr>
        <w:spacing w:after="80"/>
      </w:pPr>
      <w:r>
        <w:rPr>
          <w:rFonts w:ascii="Malgun Gothic" w:cs="Malgun Gothic" w:eastAsia="Malgun Gothic" w:hAnsi="Malgun Gothic"/>
          <w:i w:val="false"/>
          <w:iCs w:val="false"/>
          <w:sz w:val="18"/>
          <w:szCs w:val="18"/>
        </w:rPr>
        <w:t xml:space="preserve">• NOT a 95% CI, so SE(logIRR) = 1/sqrt(58) = 0.131 from the 58 Cambodian cases.</w:t>
      </w:r>
    </w:p>
    <w:p>
      <w:pPr>
        <w:spacing w:after="80"/>
      </w:pPr>
      <w:r>
        <w:rPr>
          <w:rFonts w:ascii="Malgun Gothic" w:cs="Malgun Gothic" w:eastAsia="Malgun Gothic" w:hAnsi="Malgun Gothic"/>
          <w:i w:val="false"/>
          <w:iCs w:val="false"/>
          <w:sz w:val="18"/>
          <w:szCs w:val="18"/>
        </w:rPr>
        <w:t xml:space="preserve">• IRR 0.264 (0.204-0.341).</w:t>
      </w:r>
    </w:p>
    <w:p>
      <w:pPr>
        <w:pStyle w:val="Heading2"/>
        <w:spacing w:after="100" w:before="200"/>
      </w:pPr>
      <w:r>
        <w:rPr>
          <w:rFonts w:ascii="Malgun Gothic" w:cs="Malgun Gothic" w:eastAsia="Malgun Gothic" w:hAnsi="Malgun Gothic"/>
          <w:b/>
          <w:bCs/>
          <w:sz w:val="20"/>
          <w:szCs w:val="20"/>
        </w:rPr>
        <w:t xml:space="preserve">4. External NHW comparator (study reports minority only)</w:t>
      </w:r>
    </w:p>
    <w:p>
      <w:pPr>
        <w:spacing w:after="80"/>
      </w:pPr>
      <w:r>
        <w:rPr>
          <w:rFonts w:ascii="Malgun Gothic" w:cs="Malgun Gothic" w:eastAsia="Malgun Gothic" w:hAnsi="Malgun Gothic"/>
          <w:i w:val="false"/>
          <w:iCs w:val="false"/>
          <w:sz w:val="18"/>
          <w:szCs w:val="18"/>
        </w:rPr>
        <w:t xml:space="preserve">• (Gomez 2026). Reports disaggregated AANHPI rates but no numeric NHW.</w:t>
      </w:r>
    </w:p>
    <w:p>
      <w:pPr>
        <w:spacing w:after="80"/>
      </w:pPr>
      <w:r>
        <w:rPr>
          <w:rFonts w:ascii="Malgun Gothic" w:cs="Malgun Gothic" w:eastAsia="Malgun Gothic" w:hAnsi="Malgun Gothic"/>
          <w:i w:val="false"/>
          <w:iCs w:val="false"/>
          <w:sz w:val="18"/>
          <w:szCs w:val="18"/>
        </w:rPr>
        <w:t xml:space="preserve">• Paired with the SEER-Explorer NHW female-breast rate, same submission</w:t>
      </w:r>
    </w:p>
    <w:p>
      <w:pPr>
        <w:spacing w:after="80"/>
      </w:pPr>
      <w:r>
        <w:rPr>
          <w:rFonts w:ascii="Malgun Gothic" w:cs="Malgun Gothic" w:eastAsia="Malgun Gothic" w:hAnsi="Malgun Gothic"/>
          <w:i w:val="false"/>
          <w:iCs w:val="false"/>
          <w:sz w:val="18"/>
          <w:szCs w:val="18"/>
        </w:rPr>
        <w:t xml:space="preserve">• (Nov 2025), same registry set (SEER-21), same standard (2000 US), same</w:t>
      </w:r>
    </w:p>
    <w:p>
      <w:pPr>
        <w:spacing w:after="80"/>
      </w:pPr>
      <w:r>
        <w:rPr>
          <w:rFonts w:ascii="Malgun Gothic" w:cs="Malgun Gothic" w:eastAsia="Malgun Gothic" w:hAnsi="Malgun Gothic"/>
          <w:i w:val="false"/>
          <w:iCs w:val="false"/>
          <w:sz w:val="18"/>
          <w:szCs w:val="18"/>
        </w:rPr>
        <w:t xml:space="preserve">• period-window handling (non-delay-adjusted, 2018–2022 mean = 140.3). Documented;</w:t>
      </w:r>
    </w:p>
    <w:p>
      <w:pPr>
        <w:spacing w:after="80"/>
      </w:pPr>
      <w:r>
        <w:rPr>
          <w:rFonts w:ascii="Malgun Gothic" w:cs="Malgun Gothic" w:eastAsia="Malgun Gothic" w:hAnsi="Malgun Gothic"/>
          <w:i w:val="false"/>
          <w:iCs w:val="false"/>
          <w:sz w:val="18"/>
          <w:szCs w:val="18"/>
        </w:rPr>
        <w:t xml:space="preserve">• the 2019–2023 pooled value (141.3) agrees as a sensitivity check.</w:t>
      </w:r>
    </w:p>
    <w:p>
      <w:pPr>
        <w:spacing w:after="80"/>
      </w:pPr>
      <w:r>
        <w:rPr>
          <w:rFonts w:ascii="Malgun Gothic" w:cs="Malgun Gothic" w:eastAsia="Malgun Gothic" w:hAnsi="Malgun Gothic"/>
          <w:i w:val="false"/>
          <w:iCs w:val="false"/>
          <w:sz w:val="18"/>
          <w:szCs w:val="18"/>
        </w:rPr>
        <w:t xml:space="preserve">• (Pinheiro 2009). Table gives origin rates + rounded IR ratios but</w:t>
      </w:r>
    </w:p>
    <w:p>
      <w:pPr>
        <w:spacing w:after="80"/>
      </w:pPr>
      <w:r>
        <w:rPr>
          <w:rFonts w:ascii="Malgun Gothic" w:cs="Malgun Gothic" w:eastAsia="Malgun Gothic" w:hAnsi="Malgun Gothic"/>
          <w:i w:val="false"/>
          <w:iCs w:val="false"/>
          <w:sz w:val="18"/>
          <w:szCs w:val="18"/>
        </w:rPr>
        <w:t xml:space="preserve">• not the NHW-FL rate; NHW-FL ≈ 143 (2000 US std) was back-derived so computed</w:t>
      </w:r>
    </w:p>
    <w:p>
      <w:pPr>
        <w:spacing w:after="80"/>
      </w:pPr>
      <w:r>
        <w:rPr>
          <w:rFonts w:ascii="Malgun Gothic" w:cs="Malgun Gothic" w:eastAsia="Malgun Gothic" w:hAnsi="Malgun Gothic"/>
          <w:i w:val="false"/>
          <w:iCs w:val="false"/>
          <w:sz w:val="18"/>
          <w:szCs w:val="18"/>
        </w:rPr>
        <w:t xml:space="preserve">• IRRs reproduce the authors' rounded ratios (0.8/0.5/0.8/0.7) — flagged to</w:t>
      </w:r>
    </w:p>
    <w:p>
      <w:pPr>
        <w:spacing w:after="80"/>
      </w:pPr>
      <w:r>
        <w:rPr>
          <w:rFonts w:ascii="Malgun Gothic" w:cs="Malgun Gothic" w:eastAsia="Malgun Gothic" w:hAnsi="Malgun Gothic"/>
          <w:i w:val="false"/>
          <w:iCs w:val="false"/>
          <w:sz w:val="18"/>
          <w:szCs w:val="18"/>
        </w:rPr>
        <w:t xml:space="preserve">• refine if the exact NHW is obtained.</w:t>
      </w:r>
    </w:p>
    <w:p>
      <w:pPr>
        <w:spacing w:after="80"/>
      </w:pPr>
      <w:r>
        <w:rPr>
          <w:rFonts w:ascii="Malgun Gothic" w:cs="Malgun Gothic" w:eastAsia="Malgun Gothic" w:hAnsi="Malgun Gothic"/>
          <w:i w:val="false"/>
          <w:iCs w:val="false"/>
          <w:sz w:val="18"/>
          <w:szCs w:val="18"/>
        </w:rPr>
        <w:t xml:space="preserve">• (Nash 2022, Alaska Native). Paper is ANTR-only (Alaska Native</w:t>
      </w:r>
    </w:p>
    <w:p>
      <w:pPr>
        <w:spacing w:after="80"/>
      </w:pPr>
      <w:r>
        <w:rPr>
          <w:rFonts w:ascii="Malgun Gothic" w:cs="Malgun Gothic" w:eastAsia="Malgun Gothic" w:hAnsi="Malgun Gothic"/>
          <w:i w:val="false"/>
          <w:iCs w:val="false"/>
          <w:sz w:val="18"/>
          <w:szCs w:val="18"/>
        </w:rPr>
        <w:t xml:space="preserve">• people), no in-paper NHW. AN female breast 130.8 (116.7-146.0), 2014-2018,</w:t>
      </w:r>
    </w:p>
    <w:p>
      <w:pPr>
        <w:spacing w:after="80"/>
      </w:pPr>
      <w:r>
        <w:rPr>
          <w:rFonts w:ascii="Malgun Gothic" w:cs="Malgun Gothic" w:eastAsia="Malgun Gothic" w:hAnsi="Malgun Gothic"/>
          <w:i w:val="false"/>
          <w:iCs w:val="false"/>
          <w:sz w:val="18"/>
          <w:szCs w:val="18"/>
        </w:rPr>
        <w:t xml:space="preserve">• 2000 US std. Paired with SEER-Explorer NHW observed annual mean for the SAME</w:t>
      </w:r>
    </w:p>
    <w:p>
      <w:pPr>
        <w:spacing w:after="80"/>
      </w:pPr>
      <w:r>
        <w:rPr>
          <w:rFonts w:ascii="Malgun Gothic" w:cs="Malgun Gothic" w:eastAsia="Malgun Gothic" w:hAnsi="Malgun Gothic"/>
          <w:i w:val="false"/>
          <w:iCs w:val="false"/>
          <w:sz w:val="18"/>
          <w:szCs w:val="18"/>
        </w:rPr>
        <w:t xml:space="preserve">• window (2014-2018 = 137.4, 2000 US std). IRR 0.952 (0.851-1.065). NOTE: this</w:t>
      </w:r>
    </w:p>
    <w:p>
      <w:pPr>
        <w:spacing w:after="80"/>
      </w:pPr>
      <w:r>
        <w:rPr>
          <w:rFonts w:ascii="Malgun Gothic" w:cs="Malgun Gothic" w:eastAsia="Malgun Gothic" w:hAnsi="Malgun Gothic"/>
          <w:i w:val="false"/>
          <w:iCs w:val="false"/>
          <w:sz w:val="18"/>
          <w:szCs w:val="18"/>
        </w:rPr>
        <w:t xml:space="preserve">• overlaps (Nash 2019, same ANTR registry, 2009-2014) which reports a</w:t>
      </w:r>
    </w:p>
    <w:p>
      <w:pPr>
        <w:spacing w:after="80"/>
      </w:pPr>
      <w:r>
        <w:rPr>
          <w:rFonts w:ascii="Malgun Gothic" w:cs="Malgun Gothic" w:eastAsia="Malgun Gothic" w:hAnsi="Malgun Gothic"/>
          <w:i w:val="false"/>
          <w:iCs w:val="false"/>
          <w:sz w:val="18"/>
          <w:szCs w:val="18"/>
        </w:rPr>
        <w:t xml:space="preserve">• DIRECTLY-reported IRR 1.09 (0.99-1.21) vs in-paper US White; Nash 2019 is the</w:t>
      </w:r>
    </w:p>
    <w:p>
      <w:pPr>
        <w:spacing w:after="80"/>
      </w:pPr>
      <w:r>
        <w:rPr>
          <w:rFonts w:ascii="Malgun Gothic" w:cs="Malgun Gothic" w:eastAsia="Malgun Gothic" w:hAnsi="Malgun Gothic"/>
          <w:i w:val="false"/>
          <w:iCs w:val="false"/>
          <w:sz w:val="18"/>
          <w:szCs w:val="18"/>
        </w:rPr>
        <w:t xml:space="preserve">• cell representative, Nash 2022 is a sensitivity/overlap estimate (its 0.95 vs</w:t>
      </w:r>
    </w:p>
    <w:p>
      <w:pPr>
        <w:spacing w:after="80"/>
      </w:pPr>
      <w:r>
        <w:rPr>
          <w:rFonts w:ascii="Malgun Gothic" w:cs="Malgun Gothic" w:eastAsia="Malgun Gothic" w:hAnsi="Malgun Gothic"/>
          <w:i w:val="false"/>
          <w:iCs w:val="false"/>
          <w:sz w:val="18"/>
          <w:szCs w:val="18"/>
        </w:rPr>
        <w:t xml:space="preserve">• Nash 2019's 1.09 reflects the different period and the external NHW denominator).</w:t>
      </w:r>
    </w:p>
    <w:p>
      <w:pPr>
        <w:pStyle w:val="Heading2"/>
        <w:spacing w:after="100" w:before="200"/>
      </w:pPr>
      <w:r>
        <w:rPr>
          <w:rFonts w:ascii="Malgun Gothic" w:cs="Malgun Gothic" w:eastAsia="Malgun Gothic" w:hAnsi="Malgun Gothic"/>
          <w:b/>
          <w:bCs/>
          <w:sz w:val="20"/>
          <w:szCs w:val="20"/>
        </w:rPr>
        <w:t xml:space="preserve">4b. IRR CI from reported standard errors of rates</w:t>
      </w:r>
    </w:p>
    <w:p>
      <w:pPr>
        <w:spacing w:after="80"/>
      </w:pPr>
      <w:r>
        <w:rPr>
          <w:rFonts w:ascii="Malgun Gothic" w:cs="Malgun Gothic" w:eastAsia="Malgun Gothic" w:hAnsi="Malgun Gothic"/>
          <w:i w:val="false"/>
          <w:iCs w:val="false"/>
          <w:sz w:val="18"/>
          <w:szCs w:val="18"/>
        </w:rPr>
        <w:t xml:space="preserve">• (Wilkinson 2002, Miami-Dade Hispanic). Table 1 gives invasive</w:t>
      </w:r>
    </w:p>
    <w:p>
      <w:pPr>
        <w:spacing w:after="80"/>
      </w:pPr>
      <w:r>
        <w:rPr>
          <w:rFonts w:ascii="Malgun Gothic" w:cs="Malgun Gothic" w:eastAsia="Malgun Gothic" w:hAnsi="Malgun Gothic"/>
          <w:i w:val="false"/>
          <w:iCs w:val="false"/>
          <w:sz w:val="18"/>
          <w:szCs w:val="18"/>
        </w:rPr>
        <w:t xml:space="preserve">• breast rates with SEs: Hispanic 81.9 (SE 1.2), NHW 125.8 (SE 2.0), 1990-1998.</w:t>
      </w:r>
    </w:p>
    <w:p>
      <w:pPr>
        <w:spacing w:after="80"/>
      </w:pPr>
      <w:r>
        <w:rPr>
          <w:rFonts w:ascii="Malgun Gothic" w:cs="Malgun Gothic" w:eastAsia="Malgun Gothic" w:hAnsi="Malgun Gothic"/>
          <w:i w:val="false"/>
          <w:iCs w:val="false"/>
          <w:sz w:val="18"/>
          <w:szCs w:val="18"/>
        </w:rPr>
        <w:t xml:space="preserve">• IRR = 81.9/125.8 = 0.651; SE(log rate) = SE_rate/rate; SE(logIRR) =</w:t>
      </w:r>
    </w:p>
    <w:p>
      <w:pPr>
        <w:spacing w:after="80"/>
      </w:pPr>
      <w:r>
        <w:rPr>
          <w:rFonts w:ascii="Malgun Gothic" w:cs="Malgun Gothic" w:eastAsia="Malgun Gothic" w:hAnsi="Malgun Gothic"/>
          <w:i w:val="false"/>
          <w:iCs w:val="false"/>
          <w:sz w:val="18"/>
          <w:szCs w:val="18"/>
        </w:rPr>
        <w:t xml:space="preserve">• sqrt((1.2/81.9)^2 + (2.0/125.8)^2) = 0.0216 -&gt; IRR 0.651 (0.624-0.679).</w:t>
      </w:r>
    </w:p>
    <w:p>
      <w:pPr>
        <w:spacing w:after="80"/>
      </w:pPr>
      <w:r>
        <w:rPr>
          <w:rFonts w:ascii="Malgun Gothic" w:cs="Malgun Gothic" w:eastAsia="Malgun Gothic" w:hAnsi="Malgun Gothic"/>
          <w:i w:val="false"/>
          <w:iCs w:val="false"/>
          <w:sz w:val="18"/>
          <w:szCs w:val="18"/>
        </w:rPr>
        <w:t xml:space="preserve">• Regional aggregate Hispanic (Cuban-heavy), collapses with Carozza 2006 aggregate</w:t>
      </w:r>
    </w:p>
    <w:p>
      <w:pPr>
        <w:spacing w:after="80"/>
      </w:pPr>
      <w:r>
        <w:rPr>
          <w:rFonts w:ascii="Malgun Gothic" w:cs="Malgun Gothic" w:eastAsia="Malgun Gothic" w:hAnsi="Malgun Gothic"/>
          <w:i w:val="false"/>
          <w:iCs w:val="false"/>
          <w:sz w:val="18"/>
          <w:szCs w:val="18"/>
        </w:rPr>
        <w:t xml:space="preserve">• Hispanic (sensitivity/overlap).</w:t>
      </w:r>
    </w:p>
    <w:p>
      <w:pPr>
        <w:pStyle w:val="Heading2"/>
        <w:spacing w:after="100" w:before="200"/>
      </w:pPr>
      <w:r>
        <w:rPr>
          <w:rFonts w:ascii="Malgun Gothic" w:cs="Malgun Gothic" w:eastAsia="Malgun Gothic" w:hAnsi="Malgun Gothic"/>
          <w:b/>
          <w:bCs/>
          <w:sz w:val="20"/>
          <w:szCs w:val="20"/>
        </w:rPr>
        <w:t xml:space="preserve">5b. Author-reported rate ratios taken as directly reported</w:t>
      </w:r>
    </w:p>
    <w:p>
      <w:pPr>
        <w:spacing w:after="80"/>
      </w:pPr>
      <w:r>
        <w:rPr>
          <w:rFonts w:ascii="Malgun Gothic" w:cs="Malgun Gothic" w:eastAsia="Malgun Gothic" w:hAnsi="Malgun Gothic"/>
          <w:i w:val="false"/>
          <w:iCs w:val="false"/>
          <w:sz w:val="18"/>
          <w:szCs w:val="18"/>
        </w:rPr>
        <w:t xml:space="preserve">• (Nasseri 2009, Middle Eastern-California). Authors print the rate</w:t>
      </w:r>
    </w:p>
    <w:p>
      <w:pPr>
        <w:spacing w:after="80"/>
      </w:pPr>
      <w:r>
        <w:rPr>
          <w:rFonts w:ascii="Malgun Gothic" w:cs="Malgun Gothic" w:eastAsia="Malgun Gothic" w:hAnsi="Malgun Gothic"/>
          <w:i w:val="false"/>
          <w:iCs w:val="false"/>
          <w:sz w:val="18"/>
          <w:szCs w:val="18"/>
        </w:rPr>
        <w:t xml:space="preserve">• ratio and its CI: invasive breast 0.86 (126.2/146.9, 95% CI 0.84-0.88); taken</w:t>
      </w:r>
    </w:p>
    <w:p>
      <w:pPr>
        <w:spacing w:after="80"/>
      </w:pPr>
      <w:r>
        <w:rPr>
          <w:rFonts w:ascii="Malgun Gothic" w:cs="Malgun Gothic" w:eastAsia="Malgun Gothic" w:hAnsi="Malgun Gothic"/>
          <w:i w:val="false"/>
          <w:iCs w:val="false"/>
          <w:sz w:val="18"/>
          <w:szCs w:val="18"/>
        </w:rPr>
        <w:t xml:space="preserve">• as `directly-reported-IRR`. Standard not stated but NHW=146.9 implies 2000 US.</w:t>
      </w:r>
    </w:p>
    <w:p>
      <w:pPr>
        <w:spacing w:after="80"/>
      </w:pPr>
      <w:r>
        <w:rPr>
          <w:rFonts w:ascii="Malgun Gothic" w:cs="Malgun Gothic" w:eastAsia="Malgun Gothic" w:hAnsi="Malgun Gothic"/>
          <w:i w:val="false"/>
          <w:iCs w:val="false"/>
          <w:sz w:val="18"/>
          <w:szCs w:val="18"/>
        </w:rPr>
        <w:t xml:space="preserve">• New MENA analytic cell.</w:t>
      </w:r>
    </w:p>
    <w:p>
      <w:pPr>
        <w:spacing w:after="80"/>
      </w:pPr>
      <w:r>
        <w:rPr>
          <w:rFonts w:ascii="Malgun Gothic" w:cs="Malgun Gothic" w:eastAsia="Malgun Gothic" w:hAnsi="Malgun Gothic"/>
          <w:i w:val="false"/>
          <w:iCs w:val="false"/>
          <w:sz w:val="18"/>
          <w:szCs w:val="18"/>
        </w:rPr>
        <w:t xml:space="preserve">• (Goggins 2009, Asian Indian/Pakistani). Table 1 prints the female</w:t>
      </w:r>
    </w:p>
    <w:p>
      <w:pPr>
        <w:spacing w:after="80"/>
      </w:pPr>
      <w:r>
        <w:rPr>
          <w:rFonts w:ascii="Malgun Gothic" w:cs="Malgun Gothic" w:eastAsia="Malgun Gothic" w:hAnsi="Malgun Gothic"/>
          <w:i w:val="false"/>
          <w:iCs w:val="false"/>
          <w:sz w:val="18"/>
          <w:szCs w:val="18"/>
        </w:rPr>
        <w:t xml:space="preserve">• breast SIR relative to US White = 0.61 (0.56-0.66); `directly-reported-SIR`.</w:t>
      </w:r>
    </w:p>
    <w:p>
      <w:pPr>
        <w:spacing w:after="80"/>
      </w:pPr>
      <w:r>
        <w:rPr>
          <w:rFonts w:ascii="Malgun Gothic" w:cs="Malgun Gothic" w:eastAsia="Malgun Gothic" w:hAnsi="Malgun Gothic"/>
          <w:i w:val="false"/>
          <w:iCs w:val="false"/>
          <w:sz w:val="18"/>
          <w:szCs w:val="18"/>
        </w:rPr>
        <w:t xml:space="preserve">• Overlaps Gomez 2026 Asian Indian/Pakistani (sensitivity). CONTAMINATION NOTE: the</w:t>
      </w:r>
    </w:p>
    <w:p>
      <w:pPr>
        <w:spacing w:after="80"/>
      </w:pPr>
      <w:r>
        <w:rPr>
          <w:rFonts w:ascii="Malgun Gothic" w:cs="Malgun Gothic" w:eastAsia="Malgun Gothic" w:hAnsi="Malgun Gothic"/>
          <w:i w:val="false"/>
          <w:iCs w:val="false"/>
          <w:sz w:val="18"/>
          <w:szCs w:val="18"/>
        </w:rPr>
        <w:t xml:space="preserve">• uploaded 461.pdf is byte-for-byte this Goggins paper (mis-named); the SIR was</w:t>
      </w:r>
    </w:p>
    <w:p>
      <w:pPr>
        <w:spacing w:after="80"/>
      </w:pPr>
      <w:r>
        <w:rPr>
          <w:rFonts w:ascii="Malgun Gothic" w:cs="Malgun Gothic" w:eastAsia="Malgun Gothic" w:hAnsi="Malgun Gothic"/>
          <w:i w:val="false"/>
          <w:iCs w:val="false"/>
          <w:sz w:val="18"/>
          <w:szCs w:val="18"/>
        </w:rPr>
        <w:t xml:space="preserve">• attributed to its correct record (955), NOT to (Northern Plains AI/AN),</w:t>
      </w:r>
    </w:p>
    <w:p>
      <w:pPr>
        <w:spacing w:after="80"/>
      </w:pPr>
      <w:r>
        <w:rPr>
          <w:rFonts w:ascii="Malgun Gothic" w:cs="Malgun Gothic" w:eastAsia="Malgun Gothic" w:hAnsi="Malgun Gothic"/>
          <w:i w:val="false"/>
          <w:iCs w:val="false"/>
          <w:sz w:val="18"/>
          <w:szCs w:val="18"/>
        </w:rPr>
        <w:t xml:space="preserve">• whose correct full text is still unavailable (deferred).</w:t>
      </w:r>
    </w:p>
    <w:p>
      <w:pPr>
        <w:pStyle w:val="Heading2"/>
        <w:spacing w:after="100" w:before="200"/>
      </w:pPr>
      <w:r>
        <w:rPr>
          <w:rFonts w:ascii="Malgun Gothic" w:cs="Malgun Gothic" w:eastAsia="Malgun Gothic" w:hAnsi="Malgun Gothic"/>
          <w:b/>
          <w:bCs/>
          <w:sz w:val="20"/>
          <w:szCs w:val="20"/>
        </w:rPr>
        <w:t xml:space="preserve">Contamination / mis-classification catches (this extraction pass)</w:t>
      </w:r>
    </w:p>
    <w:p>
      <w:pPr>
        <w:spacing w:after="80"/>
      </w:pPr>
      <w:r>
        <w:rPr>
          <w:rFonts w:ascii="Malgun Gothic" w:cs="Malgun Gothic" w:eastAsia="Malgun Gothic" w:hAnsi="Malgun Gothic"/>
          <w:i w:val="false"/>
          <w:iCs w:val="false"/>
          <w:sz w:val="18"/>
          <w:szCs w:val="18"/>
        </w:rPr>
        <w:t xml:space="preserve">• the npj Breast Cancer 2026 mortality study flattened numbers looked like subtype IRRs but rendering showed</w:t>
      </w:r>
    </w:p>
    <w:p>
      <w:pPr>
        <w:spacing w:after="80"/>
      </w:pPr>
      <w:r>
        <w:rPr>
          <w:rFonts w:ascii="Malgun Gothic" w:cs="Malgun Gothic" w:eastAsia="Malgun Gothic" w:hAnsi="Malgun Gothic"/>
          <w:i w:val="false"/>
          <w:iCs w:val="false"/>
          <w:sz w:val="18"/>
          <w:szCs w:val="18"/>
        </w:rPr>
        <w:t xml:space="preserve">• they are mortality HAZARD RATIOS (Cox models) — demoted (not incidence).</w:t>
      </w:r>
    </w:p>
    <w:p>
      <w:pPr>
        <w:spacing w:after="80"/>
      </w:pPr>
      <w:r>
        <w:rPr>
          <w:rFonts w:ascii="Malgun Gothic" w:cs="Malgun Gothic" w:eastAsia="Malgun Gothic" w:hAnsi="Malgun Gothic"/>
          <w:i w:val="false"/>
          <w:iCs w:val="false"/>
          <w:sz w:val="18"/>
          <w:szCs w:val="18"/>
        </w:rPr>
        <w:t xml:space="preserve">• (Hmong-Minnesota) comparator is "All Minnesotans"/API (total</w:t>
      </w:r>
    </w:p>
    <w:p>
      <w:pPr>
        <w:spacing w:after="80"/>
      </w:pPr>
      <w:r>
        <w:rPr>
          <w:rFonts w:ascii="Malgun Gothic" w:cs="Malgun Gothic" w:eastAsia="Malgun Gothic" w:hAnsi="Malgun Gothic"/>
          <w:i w:val="false"/>
          <w:iCs w:val="false"/>
          <w:sz w:val="18"/>
          <w:szCs w:val="18"/>
        </w:rPr>
        <w:t xml:space="preserve">• population, both sexes), not NHW women — demoted (incomparable; the clean</w:t>
      </w:r>
    </w:p>
    <w:p>
      <w:pPr>
        <w:spacing w:after="80"/>
      </w:pPr>
      <w:r>
        <w:rPr>
          <w:rFonts w:ascii="Malgun Gothic" w:cs="Malgun Gothic" w:eastAsia="Malgun Gothic" w:hAnsi="Malgun Gothic"/>
          <w:i w:val="false"/>
          <w:iCs w:val="false"/>
          <w:sz w:val="18"/>
          <w:szCs w:val="18"/>
        </w:rPr>
        <w:t xml:space="preserve">• Hmong-vs-NHW female estimate comes from Mills 2005 instead).</w:t>
      </w:r>
    </w:p>
    <w:p>
      <w:pPr>
        <w:spacing w:after="80"/>
      </w:pPr>
      <w:r>
        <w:rPr>
          <w:rFonts w:ascii="Malgun Gothic" w:cs="Malgun Gothic" w:eastAsia="Malgun Gothic" w:hAnsi="Malgun Gothic"/>
          <w:i w:val="false"/>
          <w:iCs w:val="false"/>
          <w:sz w:val="18"/>
          <w:szCs w:val="18"/>
        </w:rPr>
        <w:t xml:space="preserve">• the Northern Plains AI/AN study, Goggins 2009 PDF mis-filing resolved as above.</w:t>
      </w:r>
    </w:p>
    <w:p>
      <w:pPr>
        <w:pStyle w:val="Heading2"/>
        <w:spacing w:after="100" w:before="200"/>
      </w:pPr>
      <w:r>
        <w:rPr>
          <w:rFonts w:ascii="Malgun Gothic" w:cs="Malgun Gothic" w:eastAsia="Malgun Gothic" w:hAnsi="Malgun Gothic"/>
          <w:b/>
          <w:bCs/>
          <w:sz w:val="20"/>
          <w:szCs w:val="20"/>
        </w:rPr>
        <w:t xml:space="preserve">5. Direction conversion</w:t>
      </w:r>
    </w:p>
    <w:p>
      <w:pPr>
        <w:spacing w:after="80"/>
      </w:pPr>
      <w:r>
        <w:rPr>
          <w:rFonts w:ascii="Malgun Gothic" w:cs="Malgun Gothic" w:eastAsia="Malgun Gothic" w:hAnsi="Malgun Gothic"/>
          <w:i w:val="false"/>
          <w:iCs w:val="false"/>
          <w:sz w:val="18"/>
          <w:szCs w:val="18"/>
        </w:rPr>
        <w:t xml:space="preserve">• (Kong 2020). Subtype IRRs are printed minority-vs-NHW (verified from</w:t>
      </w:r>
    </w:p>
    <w:p>
      <w:pPr>
        <w:spacing w:after="80"/>
      </w:pPr>
      <w:r>
        <w:rPr>
          <w:rFonts w:ascii="Malgun Gothic" w:cs="Malgun Gothic" w:eastAsia="Malgun Gothic" w:hAnsi="Malgun Gothic"/>
          <w:i w:val="false"/>
          <w:iCs w:val="false"/>
          <w:sz w:val="18"/>
          <w:szCs w:val="18"/>
        </w:rPr>
        <w:t xml:space="preserve">• "In [minority]… higher/lower than NHW") → taken as-is. The overall Black</w:t>
      </w:r>
    </w:p>
    <w:p>
      <w:pPr>
        <w:spacing w:after="80"/>
      </w:pPr>
      <w:r>
        <w:rPr>
          <w:rFonts w:ascii="Malgun Gothic" w:cs="Malgun Gothic" w:eastAsia="Malgun Gothic" w:hAnsi="Malgun Gothic"/>
          <w:i w:val="false"/>
          <w:iCs w:val="false"/>
          <w:sz w:val="18"/>
          <w:szCs w:val="18"/>
        </w:rPr>
        <w:t xml:space="preserve">• statement is printed NHW-vs-Black (1.04) → would invert to 0.96; left unrecorded</w:t>
      </w:r>
    </w:p>
    <w:p>
      <w:pPr>
        <w:spacing w:after="80"/>
      </w:pPr>
      <w:r>
        <w:rPr>
          <w:rFonts w:ascii="Malgun Gothic" w:cs="Malgun Gothic" w:eastAsia="Malgun Gothic" w:hAnsi="Malgun Gothic"/>
          <w:i w:val="false"/>
          <w:iCs w:val="false"/>
          <w:sz w:val="18"/>
          <w:szCs w:val="18"/>
        </w:rPr>
        <w:t xml:space="preserve">• as ambiguous.</w:t>
      </w:r>
    </w:p>
    <w:p>
      <w:pPr>
        <w:pStyle w:val="Heading2"/>
        <w:spacing w:after="100" w:before="200"/>
      </w:pPr>
      <w:r>
        <w:rPr>
          <w:rFonts w:ascii="Malgun Gothic" w:cs="Malgun Gothic" w:eastAsia="Malgun Gothic" w:hAnsi="Malgun Gothic"/>
          <w:b/>
          <w:bCs/>
          <w:sz w:val="20"/>
          <w:szCs w:val="20"/>
        </w:rPr>
        <w:t xml:space="preserve">Open item</w:t>
      </w:r>
    </w:p>
    <w:p>
      <w:pPr>
        <w:spacing w:after="80"/>
      </w:pPr>
      <w:r>
        <w:rPr>
          <w:rFonts w:ascii="Malgun Gothic" w:cs="Malgun Gothic" w:eastAsia="Malgun Gothic" w:hAnsi="Malgun Gothic"/>
          <w:i w:val="false"/>
          <w:iCs w:val="false"/>
          <w:sz w:val="18"/>
          <w:szCs w:val="18"/>
        </w:rPr>
        <w:t xml:space="preserve">• CIs are missing for the Howlader 2014 age-standardized IRRs and for a few rate-only</w:t>
      </w:r>
    </w:p>
    <w:p>
      <w:pPr>
        <w:spacing w:after="80"/>
      </w:pPr>
      <w:r>
        <w:rPr>
          <w:rFonts w:ascii="Malgun Gothic" w:cs="Malgun Gothic" w:eastAsia="Malgun Gothic" w:hAnsi="Malgun Gothic"/>
          <w:i w:val="false"/>
          <w:iCs w:val="false"/>
          <w:sz w:val="18"/>
          <w:szCs w:val="18"/>
        </w:rPr>
        <w:t xml:space="preserve">• rows (McCracken 2007, 100, 381). These enter the MAIN forest as point estimates and</w:t>
      </w:r>
    </w:p>
    <w:p>
      <w:pPr>
        <w:spacing w:after="80"/>
      </w:pPr>
      <w:r>
        <w:rPr>
          <w:rFonts w:ascii="Malgun Gothic" w:cs="Malgun Gothic" w:eastAsia="Malgun Gothic" w:hAnsi="Malgun Gothic"/>
          <w:i w:val="false"/>
          <w:iCs w:val="false"/>
          <w:sz w:val="18"/>
          <w:szCs w:val="18"/>
        </w:rPr>
        <w:t xml:space="preserve">• the sensitivity/precision-weighted pooling notes this. If exact CIs or case</w:t>
      </w:r>
    </w:p>
    <w:p>
      <w:pPr>
        <w:spacing w:after="80"/>
      </w:pPr>
      <w:r>
        <w:rPr>
          <w:rFonts w:ascii="Malgun Gothic" w:cs="Malgun Gothic" w:eastAsia="Malgun Gothic" w:hAnsi="Malgun Gothic"/>
          <w:i w:val="false"/>
          <w:iCs w:val="false"/>
          <w:sz w:val="18"/>
          <w:szCs w:val="18"/>
        </w:rPr>
        <w:t xml:space="preserve">• counts are later obtained, upgrade provenance and add CIs.</w:t>
      </w:r>
    </w:p>
    <w:p>
      <w:r>
        <w:br w:type="page"/>
      </w:r>
    </w:p>
    <w:p>
      <w:pPr>
        <w:sectPr>
          <w:pgSz w:w="15840" w:h="12240" w:orient="landscape"/>
          <w:pgMar w:top="720" w:right="720" w:bottom="720" w:left="720" w:header="708" w:footer="708" w:gutter="0"/>
          <w:pgNumType/>
          <w:docGrid w:linePitch="360"/>
        </w:sectPr>
      </w:pPr>
    </w:p>
    <w:p>
      <w:pPr>
        <w:pStyle w:val="Heading1"/>
        <w:spacing w:after="100" w:before="200"/>
      </w:pPr>
      <w:r>
        <w:rPr>
          <w:rFonts w:ascii="Malgun Gothic" w:cs="Malgun Gothic" w:eastAsia="Malgun Gothic" w:hAnsi="Malgun Gothic"/>
          <w:b/>
          <w:bCs/>
          <w:sz w:val="24"/>
          <w:szCs w:val="24"/>
        </w:rPr>
        <w:t xml:space="preserve">Supplementary Figure 1. PRISMA 2020 flow diagram</w:t>
      </w:r>
    </w:p>
    <w:p>
      <w:pPr>
        <w:jc w:val="center"/>
      </w:pPr>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2. Representative IRRs — disaggregated Asian/NHPI subgroups</w:t>
      </w:r>
    </w:p>
    <w:p>
      <w:pPr>
        <w:spacing w:after="80"/>
      </w:pPr>
      <w:r>
        <w:rPr>
          <w:rFonts w:ascii="Malgun Gothic" w:cs="Malgun Gothic" w:eastAsia="Malgun Gothic" w:hAnsi="Malgun Gothic"/>
          <w:i/>
          <w:iCs/>
          <w:sz w:val="18"/>
          <w:szCs w:val="18"/>
        </w:rPr>
        <w:t xml:space="preserve">One representative estimate per subgroup (one per registry family).</w:t>
      </w:r>
    </w:p>
    <w:p>
      <w:pPr>
        <w:jc w:val="center"/>
      </w:pPr>
      <w:r>
        <w:drawing>
          <wp:inline distT="0" distB="0" distL="0" distR="0">
            <wp:extent cx="6477000" cy="541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77000" cy="541020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3. Representative IRRs — aggregate groups, Hispanic origin, AI/AN region, MENA</w:t>
      </w:r>
    </w:p>
    <w:p>
      <w:pPr>
        <w:jc w:val="center"/>
      </w:pPr>
      <w:r>
        <w:drawing>
          <wp:inline distT="0" distB="0" distL="0" distR="0">
            <wp:extent cx="6477000" cy="508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77000" cy="508635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4. Pooled forest plots — aggregate racial/ethnic groups</w:t>
      </w:r>
    </w:p>
    <w:p>
      <w:pPr>
        <w:spacing w:after="80"/>
      </w:pPr>
      <w:r>
        <w:rPr>
          <w:rFonts w:ascii="Malgun Gothic" w:cs="Malgun Gothic" w:eastAsia="Malgun Gothic" w:hAnsi="Malgun Gothic"/>
          <w:i/>
          <w:iCs/>
          <w:sz w:val="18"/>
          <w:szCs w:val="18"/>
        </w:rPr>
        <w:t xml:space="preserve">Every contributing study per group with the random-effects pooled diamond (Paule-Mandel/REML + Hartung-Knapp) and I². The high I² reflects non-independent overlapping registry data (all-included / sensitivity pooling); the main analysis instead uses one representative per registry family (Table 4).</w:t>
      </w:r>
    </w:p>
    <w:p>
      <w:pPr>
        <w:jc w:val="center"/>
      </w:pPr>
      <w:r>
        <w:drawing>
          <wp:inline distT="0" distB="0" distL="0" distR="0">
            <wp:extent cx="5734050" cy="838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34050" cy="838200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5. Pooled forest plots — triple-negative breast cancer</w:t>
      </w:r>
    </w:p>
    <w:p>
      <w:pPr>
        <w:jc w:val="center"/>
      </w:pPr>
      <w:r>
        <w:drawing>
          <wp:inline distT="0" distB="0" distL="0" distR="0">
            <wp:extent cx="6477000" cy="443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477000" cy="443865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6. Pooled forest plots — disaggregated subgroups with ≥2 studies</w:t>
      </w:r>
    </w:p>
    <w:p>
      <w:pPr>
        <w:jc w:val="center"/>
      </w:pPr>
      <w:r>
        <w:drawing>
          <wp:inline distT="0" distB="0" distL="0" distR="0">
            <wp:extent cx="6477000" cy="562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477000" cy="5629275"/>
                    </a:xfrm>
                    <a:prstGeom prst="rect">
                      <a:avLst/>
                    </a:prstGeom>
                  </pic:spPr>
                </pic:pic>
              </a:graphicData>
            </a:graphic>
          </wp:inline>
        </w:drawing>
      </w:r>
    </w:p>
    <w:p>
      <w:pPr>
        <w:spacing w:after="80"/>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5a5503ae949d8247c0463903e91a29661d9f87b.png"/><Relationship Id="rId8" Type="http://schemas.openxmlformats.org/officeDocument/2006/relationships/image" Target="media/a195840457919e809dc6c288edc5c8ff24e4035d.png"/><Relationship Id="rId9" Type="http://schemas.openxmlformats.org/officeDocument/2006/relationships/image" Target="media/b628ce1d3cdf496eb8632233eff210c260bc6aba.png"/><Relationship Id="rId10" Type="http://schemas.openxmlformats.org/officeDocument/2006/relationships/image" Target="media/790ac74280871fe13e74e890b7874b1af2f4f814.png"/><Relationship Id="rId11" Type="http://schemas.openxmlformats.org/officeDocument/2006/relationships/image" Target="media/9f7f31a3aab1bc6cab75a99d908de80e94217fb7.png"/><Relationship Id="rId12" Type="http://schemas.openxmlformats.org/officeDocument/2006/relationships/image" Target="media/ac657d800cda9d0de131872103c3517945a5c0fe.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2026-08-15T09:43:35.935Z</dcterms:created>
  <dcterms:modified xsi:type="dcterms:W3CDTF">2026-08-15T09:43:35.935Z</dcterms:modified>
</cp:coreProperties>
</file>

<file path=docProps/custom.xml><?xml version="1.0" encoding="utf-8"?>
<Properties xmlns="http://schemas.openxmlformats.org/officeDocument/2006/custom-properties" xmlns:vt="http://schemas.openxmlformats.org/officeDocument/2006/docPropsVTypes"/>
</file>