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RoB = Newcastle-Ottawa rating of the representative study; GRADE = certainty of evidence. Full per-estimate detail is in the Supplementary Materials.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Overall invasive breast cancer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Gopalani2020_31764279 (1999-2015)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Asian American / Native Hawaiian / Pacific Islander subgroups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Mills2005 (Hmong 1988-2000 / NHW 1995-1999)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Kem2007 (1998-2002)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Gomez2017_CCR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Gomez2017_CCR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Miller2008_NAACCR-API (1998-2002)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Hispanic/Latina by country of origin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Carozza2006_multistate (1995-2000)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American Indian / Alaska Native by region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(Navajo)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Yazzie2025_Navajo (2014-2018)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Melkonian2019_IHS-PRCDA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(Southern Plains, provisional)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Melkonian2021_IHS-PRCDA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(Northern Plains, provisional)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Melkonian2021_IHS-PRCDA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Middle Eastern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Nasseri2009 (1988-2004)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Triple-negative breast cancer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Gomez2017_CCR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Sung2023_USCS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Sung2023_USCS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Sung2023_USCS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Sung2023_USCS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Male breast cancer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Sung2020_USCS50 (2011-2015)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2. Aggregate meta-analysis of invasive breast cancer incidence by racial and ethnic group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Random-effects meta-analysis (Paule-Mandel/REML τ² with Hartung-Knapp-Sidik-Jonkman confidence interval); no fixed-effect model was used. k = number of estimates pooled in the all-included (sensitivity) analysis; I² and Cochran's Q p-value describe that pool. The main analysis uses one estimate per registry family to remove non-independence; the very high I² reflects overlapping registry data rather than genuine between-study heterogeneity (see Supplementary Table 8 and the GRADE framework).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654"/>
        <w:gridCol w:w="752"/>
        <w:gridCol w:w="2042"/>
        <w:gridCol w:w="2901"/>
        <w:gridCol w:w="860"/>
        <w:gridCol w:w="1075"/>
        <w:gridCol w:w="3116"/>
      </w:tblGrid>
      <w:tr>
        <w:trPr>
          <w:tblHeader/>
        </w:trPr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Comparison (vs NHW)</w:t>
            </w:r>
          </w:p>
        </w:tc>
        <w:tc>
          <w:tcPr>
            <w:tcW w:type="dxa" w:w="75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k</w:t>
            </w:r>
          </w:p>
        </w:tc>
        <w:tc>
          <w:tcPr>
            <w:tcW w:type="dxa" w:w="204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Model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Pooled IRR (95% CI)</w:t>
            </w:r>
          </w:p>
        </w:tc>
        <w:tc>
          <w:tcPr>
            <w:tcW w:type="dxa" w:w="86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I²</w:t>
            </w:r>
          </w:p>
        </w:tc>
        <w:tc>
          <w:tcPr>
            <w:tcW w:type="dxa" w:w="107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Q p</w:t>
            </w:r>
          </w:p>
        </w:tc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IRR (one-per-family)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Black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0.951 (0.936-0.965)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96%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(0.92-0.946)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Hispanic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0.719 (0.675-0.765)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(0.706-0.73)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Asian and Pacific Islander (API)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0.798 (0.724-0.878)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(0.751-0.787)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AIAN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0.695 (0.603-0.802)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 (0.55-0.57)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Triple-negative — Black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1.968 (1.815-2.134)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84%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 (1.925-1.975)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AIAN main analysis uses the Indian Health Service–linked (undercount-corrected) representative; the higher unlinked SEER value (0.71) appears only in the sensitivity pool. Pooled and main IRRs agree closely for all other groups.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b628ce1d3cdf496eb8632233eff210c260bc6a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2026-08-15T11:41:02.764Z</dcterms:created>
  <dcterms:modified xsi:type="dcterms:W3CDTF">2026-08-15T11:41:02.764Z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