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115 contributed to the narrative synthesis only (163 = 43 + 5 + 115). Study design is classified from the data source; most included studies are population-based registry/incidence studies rather than cohort studies. A PMID (or DOI where no PMID exists) is given for every study so that each of the 163 included studies—including the 115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doi:10.1101/2025.07.14.25331338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67 of 85 cells unchanged, 5 changed, 13 dropped. The changed and dropped cells were concentrated in the disaggregated AANHPI subgroups and the AI/AN cells, whose representatives are computed estimates from moderate-risk-of-bias sources.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46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57 of 85 cells unchanged, 2 changed, 26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Gomez 2026, Pinheiro 2009, (§4); (§4b); and the Poisson-SE records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The table gives origin-specific rates and rounded</w:t>
      </w:r>
    </w:p>
    <w:p>
      <w:pPr>
        <w:spacing w:after="80"/>
      </w:pPr>
      <w:r>
        <w:rPr>
          <w:rFonts w:ascii="Malgun Gothic" w:cs="Malgun Gothic" w:eastAsia="Malgun Gothic" w:hAnsi="Malgun Gothic"/>
          <w:i w:val="false"/>
          <w:iCs w:val="false"/>
          <w:sz w:val="18"/>
          <w:szCs w:val="18"/>
        </w:rPr>
        <w:t xml:space="preserve">• IR ratios but not the NHW-Florida rate; a NHW-FL value of ≈143 (2000 US std)</w:t>
      </w:r>
    </w:p>
    <w:p>
      <w:pPr>
        <w:spacing w:after="80"/>
      </w:pPr>
      <w:r>
        <w:rPr>
          <w:rFonts w:ascii="Malgun Gothic" w:cs="Malgun Gothic" w:eastAsia="Malgun Gothic" w:hAnsi="Malgun Gothic"/>
          <w:i w:val="false"/>
          <w:iCs w:val="false"/>
          <w:sz w:val="18"/>
          <w:szCs w:val="18"/>
        </w:rPr>
        <w:t xml:space="preserve">• reproduces the authors' rounded ratios (0.8/0.5/0.8/0.7) and was used as the</w:t>
      </w:r>
    </w:p>
    <w:p>
      <w:pPr>
        <w:spacing w:after="80"/>
      </w:pPr>
      <w:r>
        <w:rPr>
          <w:rFonts w:ascii="Malgun Gothic" w:cs="Malgun Gothic" w:eastAsia="Malgun Gothic" w:hAnsi="Malgun Gothic"/>
          <w:i w:val="false"/>
          <w:iCs w:val="false"/>
          <w:sz w:val="18"/>
          <w:szCs w:val="18"/>
        </w:rPr>
        <w:t xml:space="preserve">• fixed denominator. The CI for each origin group is the origin-rate CI scaled by</w:t>
      </w:r>
    </w:p>
    <w:p>
      <w:pPr>
        <w:spacing w:after="80"/>
      </w:pPr>
      <w:r>
        <w:rPr>
          <w:rFonts w:ascii="Malgun Gothic" w:cs="Malgun Gothic" w:eastAsia="Malgun Gothic" w:hAnsi="Malgun Gothic"/>
          <w:i w:val="false"/>
          <w:iCs w:val="false"/>
          <w:sz w:val="18"/>
          <w:szCs w:val="18"/>
        </w:rPr>
        <w:t xml:space="preserve">• the same denominator.</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2026-08-19T13:53:25.811Z</dcterms:created>
  <dcterms:modified xsi:type="dcterms:W3CDTF">2026-08-19T13:53:25.811Z</dcterms:modified>
</cp:coreProperties>
</file>

<file path=docProps/custom.xml><?xml version="1.0" encoding="utf-8"?>
<Properties xmlns="http://schemas.openxmlformats.org/officeDocument/2006/custom-properties" xmlns:vt="http://schemas.openxmlformats.org/officeDocument/2006/docPropsVTypes"/>
</file>