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were searched for U.S. studies reporting female invasive breast cancer incidence by racial or ethnic group, following PRISMA 2020; those with a recoverable White or non-Hispanic White (NHW) comparison formed the quantitative synthesis and the remainder the narrative synthesis. Because these registries (SEER, NPCR/USCS, NAACCR, and state) overlap, one representative estimate per group and dimension was selected, not pooled. Each estimate was an incidence rate ratio (IRR) versus a non-Hispanic White reference (unstratified White for a minority of estimates); ratios not reported directly were recomputed from a single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0.51 (Mexican) to 0.83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Because unlinked registries undercount AI/AN incidence, Indian Health Service–linked estimates were used for that group.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 and to stage at diagnosis, screening, and access to care.</w:t>
      </w:r>
      <w:r>
        <w:rPr>
          <w:rFonts w:ascii="Times New Roman" w:cs="Times New Roman" w:eastAsia="Times New Roman" w:hAnsi="Times New Roman"/>
          <w:sz w:val="24"/>
          <w:szCs w:val="24"/>
          <w:vertAlign w:val="superscript"/>
        </w:rPr>
        <w:t xml:space="preserve">2,4</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origin-specific rates have been reported for Hispanic women in California.</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also depends on how race is ascertained: registries that assign race by observation misclassify and undercount many AI/AN cases, so linkage to Indian Health Service records is needed to recover their rates,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which for Alaska Native women are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collapses these overlapping estimates,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non-Hispanic White (NHW) comparator—as an incidence rate ratio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American Indian and Alaska Native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reports that did not present invasive female breast cancer incidence by race or ethnicity, and mortality- or survival-only reports were excluded. (A study reporting such incidence but without a recoverable White comparison was included in the narrative synthesis, not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under the author's direction; to check this step, the author re-screened a random sample of the records the model had excluded and recorded any that should have been retained. The author then obtained and read the full texts and made all full-text eligibility and inclusion decisions personally; the language model assisted data extraction and cross-checked each extracted value against its source, and every included estimate was verified by the author against the source table, figure, or text. Screening and extraction were thus performed by a single reviewer with model assistance. In all, 162 publications were included in the systematic review; of these, 48 were eligible for quantitative synthesis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non-Hispanic White (rather than an unstratified White) comparator, then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48 extracted studies (Supplementary Table 5).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Each representative therefore rested on a directly reported ratio or on minority and reference rates from the same source. One estimate paired an Alaska Native rate with an external SEER-Explorer non-Hispanic White reference, its source having reported no in-paper White comparator; it was used only in the sensitivity analysis,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242 reports; 9 could not be retrieved, and of the 233 assessed, 71 were excluded, giving 162 included studies (Figure 1). Of these, 48 were eligible for quantitative synthesis and entered the analysis, contributing 156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—22 supplied a cell representative, and the remainder contributed overlapping estimates carried only in the sensitivity analysis; the remaining 114 informed the narrative synthesis (162 = 48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73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0.51 (0.38–0.69), New Latino 0.70 (0.63–0.77), Cuban 0.77 (0.69–0.86), and Puerto Rican 0.83 (0.74–0.94); the aggregate Hispanic/Latina estimate was a standardized incidence ratio of 0.64 (Table 1; Figure 2).</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39 of the 48 studies were at low risk of bias and 9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55 of 73 cell representatives unchanged, with the 8 changed and 10 dropped cells concentrated in the disaggregated AANHPI subgroups; restricting to directly reported estimates left 35 unchanged (6 changed, 32 dropped); and restricting to NHW-comparator estimates left 56 unchanged (17 dropped), the dropped cells being those whose only representative used an unstratified White comparator — the receptor-defined subtypes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(an unstratified White reference for a minority of cells, chiefly the receptor-defined subtypes).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Northern Plains (Figure 2).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Two features of the underlying data shaped these estimates. Because SEER, NPCR/USCS, NAACCR, and state registries cover overlapping populations, estimates from different publications are not independent; the analysis therefore retained one representative population-based estimate per group and analytic dimension rather than pooling them. First, unlinked national registries misclassify race and undercount AI/AN cases, so an Indian Health Service–linked estimate was preferred for that group, and the reported AI/AN figures are the undercount-adjusted ones rather than the lower unlinked-registry values.</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In the Northern Plains, for example, unlinked state registries placed AI/AN breast incidence at a rate ratio of 0.90 relative to NHW women, whereas the IHS-linked estimate for the same region placed it at 1.33—the comparison reversing direction with case ascertainment.</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so selection and extraction errors cannot be excluded; the full text of every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75188affc8fbacc18ff1aed4426fbcc15a314b4.png"/><Relationship Id="rId8" Type="http://schemas.openxmlformats.org/officeDocument/2006/relationships/image" Target="media/ff4e2a5df5b5a4b61ea7aa7931018a955ce889d8.png"/><Relationship Id="rId9" Type="http://schemas.openxmlformats.org/officeDocument/2006/relationships/image" Target="media/b983c35637ca208496018d64a3b19919f045d9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2026-09-03T10:35:02.497Z</dcterms:created>
  <dcterms:modified xsi:type="dcterms:W3CDTF">2026-09-03T10:35:02.498Z</dcterms:modified>
</cp:coreProperties>
</file>

<file path=docProps/custom.xml><?xml version="1.0" encoding="utf-8"?>
<Properties xmlns="http://schemas.openxmlformats.org/officeDocument/2006/custom-properties" xmlns:vt="http://schemas.openxmlformats.org/officeDocument/2006/docPropsVTypes"/>
</file>