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pStyle w:val="Heading1"/>
        <w:spacing w:after="100" w:before="200"/>
      </w:pPr>
      <w:r>
        <w:rPr>
          <w:rFonts w:ascii="Malgun Gothic" w:cs="Malgun Gothic" w:eastAsia="Malgun Gothic" w:hAnsi="Malgun Gothic"/>
          <w:b/>
          <w:bCs/>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162)</w:t>
      </w:r>
    </w:p>
    <w:p>
      <w:pPr>
        <w:spacing w:after="80"/>
      </w:pPr>
      <w:r>
        <w:rPr>
          <w:rFonts w:ascii="Malgun Gothic" w:cs="Malgun Gothic" w:eastAsia="Malgun Gothic" w:hAnsi="Malgun Gothic"/>
          <w:i/>
          <w:iCs/>
          <w:sz w:val="18"/>
          <w:szCs w:val="18"/>
        </w:rPr>
        <w:t xml:space="preserve">The 162 studies are all publications included in the systematic review; not all entered the quantitative synthesis. They are grouped below by how each contributed: 48 were eligible for quantitative synthesis and all provided extractable quantitative data that entered the analysis, and the remaining 114 contributed to the narrative synthesis only (162 = 48 + 114). Study design is classified from the data source; most included studies are population-based registry/incidence studies rather than cohort studies. A PMID (or DOI where no PMID exists) is given for every study so that each of the 162 included studies—including the 114 in the narrative synthesis—can be located individually.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13"/>
        <w:gridCol w:w="2833"/>
        <w:gridCol w:w="2479"/>
        <w:gridCol w:w="2833"/>
        <w:gridCol w:w="2243"/>
      </w:tblGrid>
      <w:tr>
        <w:trPr>
          <w:tblHeader/>
        </w:trPr>
        <w:tc>
          <w:tcPr>
            <w:tcW w:type="dxa" w:w="40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2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48)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white/black/AANHPI/Hispanic subtypes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NHB/NHW/Hispanic/AANHPI/AI/AN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NHW/Black/Hispanic/AANHPI by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AANHPI/Hispanic/AA vs White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White/AANHPI/Black continental + 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women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NHW/black/AI/AN/AANHPI + histology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AANHPI/NHW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population-based estimate (contemporary benchmark) per registry family per analytic cell for the main analysis — the most recent, broadest-coverage estimate with an appropriate population definition and standardization, not a pooled estimate; overlapping estimates are retained only for the sensitivity re-selection.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(SE-reported)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SEER age-specific rates (within-study Black/White ratio; std pop cancels)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SEER age-specific rates (within-study Black/White ratio; std pop cancels)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155.5 and Cambodian/White ratio 0.26 reported in source Table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145.5 reported in source Table (NHW/AANHPI 1995-1999)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(no usable IRR)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IRR 0.86 and rates 126.2/146.9 directly reported in source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one representative was kept per registry family per cell (selection criteria in Methods).</w:t>
      </w:r>
    </w:p>
    <w:p>
      <w:pPr>
        <w:spacing w:after="80"/>
      </w:pPr>
      <w:r>
        <w:rPr>
          <w:rFonts w:ascii="Malgun Gothic" w:cs="Malgun Gothic" w:eastAsia="Malgun Gothic" w:hAnsi="Malgun Gothic"/>
          <w:i/>
          <w:iCs/>
          <w:sz w:val="18"/>
          <w:szCs w:val="18"/>
        </w:rPr>
        <w:t xml:space="preserve">Main analysis: “yes (representative)” = the estimate carried into the main analysis as the group’s benchmark; “no (overlaps representative)” = an overlapping estimate for the same cell, used only when the representative is re-selected in the sensitivity analyses (Table 6); “no (AI/AN undercount)” = an unlinked national-registry AI/AN estimate demoted in favour of the IHS-linked representative; “no (registry-direct anchor)” = the SEER-Explorer reference value, not a screened study; “no (no usable IRR)” = the source named the subgroup but reported no rate or ratio from which an IRR could be formed.</w:t>
      </w:r>
    </w:p>
    <w:p>
      <w:pPr>
        <w:spacing w:after="80"/>
      </w:pPr>
      <w:r>
        <w:rPr>
          <w:rFonts w:ascii="Malgun Gothic" w:cs="Malgun Gothic" w:eastAsia="Malgun Gothic" w:hAnsi="Malgun Gothic"/>
          <w:i/>
          <w:iCs/>
          <w:sz w:val="18"/>
          <w:szCs w:val="18"/>
        </w:rPr>
        <w:t xml:space="preserve">Comparator: the reference group is shown as each source defined it — non-Hispanic White (NHW) where the source stratified by Hispanic origin, or “White (not NH-stratified)” otherwise (the latter concentrated in the receptor-defined subtypes and AI/AN comparisons). Because the reference rate and the minority rate come from the same source, period, and standard population, the incidence rate ratio is internally valid even where the reference is unstratified White; a sensitivity analysis restricted to NHW-comparator estimates is reported in Supplementary Table 6c.</w:t>
      </w:r>
    </w:p>
    <w:p>
      <w:pPr>
        <w:spacing w:after="80"/>
      </w:pPr>
      <w:r>
        <w:rPr>
          <w:rFonts w:ascii="Malgun Gothic" w:cs="Malgun Gothic" w:eastAsia="Malgun Gothic" w:hAnsi="Malgun Gothic"/>
          <w:i/>
          <w:iCs/>
          <w:sz w:val="18"/>
          <w:szCs w:val="18"/>
        </w:rPr>
        <w:t xml:space="preserve">Standard population: age-standardization is to the 2000 U.S. standard unless the “Std pop” column shows otherwise. Because the rate ratio is formed within each study, the standard population largely cancels; the few non-2000 estimates are flagged in the “Std pop” column.</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(JBI checklist for studies reporting prevalence/incidence data)</w:t>
      </w:r>
    </w:p>
    <w:p>
      <w:pPr>
        <w:spacing w:after="80"/>
      </w:pPr>
      <w:r>
        <w:rPr>
          <w:rFonts w:ascii="Malgun Gothic" w:cs="Malgun Gothic" w:eastAsia="Malgun Gothic" w:hAnsi="Malgun Gothic"/>
          <w:i/>
          <w:iCs/>
          <w:sz w:val="18"/>
          <w:szCs w:val="18"/>
        </w:rPr>
        <w:t xml:space="preserve">Nine JBI items rated Y (Yes) / N (No) / U (Unclear); overall risk of bias is summarized as Low, Moderate, or High. The checklist was applied to each study by the author (a single assessor) with large-language-model assistance.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527"/>
        <w:gridCol w:w="877"/>
        <w:gridCol w:w="877"/>
        <w:gridCol w:w="877"/>
        <w:gridCol w:w="877"/>
        <w:gridCol w:w="877"/>
        <w:gridCol w:w="877"/>
        <w:gridCol w:w="877"/>
        <w:gridCol w:w="877"/>
        <w:gridCol w:w="877"/>
        <w:gridCol w:w="1980"/>
      </w:tblGrid>
      <w:tr>
        <w:trPr>
          <w:tblHeader/>
        </w:trPr>
        <w:tc>
          <w:tcPr>
            <w:tcW w:type="dxa" w:w="452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Q9</w:t>
            </w:r>
          </w:p>
        </w:tc>
        <w:tc>
          <w:tcPr>
            <w:tcW w:type="dxa" w:w="19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 Q9 response rate — not applicable to census-like registry ascertainment.</w:t>
      </w:r>
    </w:p>
    <w:p>
      <w:pPr>
        <w:spacing w:after="80"/>
      </w:pPr>
      <w:r>
        <w:rPr>
          <w:rFonts w:ascii="Malgun Gothic" w:cs="Malgun Gothic" w:eastAsia="Malgun Gothic" w:hAnsi="Malgun Gothic"/>
          <w:i/>
          <w:iCs/>
          <w:sz w:val="18"/>
          <w:szCs w:val="18"/>
        </w:rPr>
        <w:t xml:space="preserve">Overall risk of bias: Low = at most one item not met with the two key items (Q7 measurement, Q8 analysis) met; High = three or more items not met; Moderate otherwise. Of 48 studies assessed, 39 were Low, 9 Moderate, and 0 High; the Moderate ratings arise chiefly where an estimate was reported as a point value without a variance (Q8) or where race/ethnicity ascertainment was limited (Q7).</w:t>
      </w:r>
    </w:p>
    <w:p>
      <w:r>
        <w:br w:type="page"/>
      </w:r>
    </w:p>
    <w:p>
      <w:pPr>
        <w:pStyle w:val="Heading1"/>
        <w:spacing w:after="100" w:before="200"/>
      </w:pPr>
      <w:r>
        <w:rPr>
          <w:rFonts w:ascii="Malgun Gothic" w:cs="Malgun Gothic" w:eastAsia="Malgun Gothic" w:hAnsi="Malgun Gothic"/>
          <w:b/>
          <w:bCs/>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55 of 73 cells unchanged, 8 changed, 10 dropped. The changed and dropped cells were concentrated in the disaggregated AANHPI subgroups (with a few age-specific and Middle Eastern cells), whose representatives are computed estimates from moderate-risk-of-bias sources; the aggregate and regional AI/AN representatives are unchanged because the IHS-linked estimates preferred in the main analysis are themselves low risk of bias.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35 unchanged, 6 changed, 32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56 of 73 cells unchanged, 0 changed, 17 dropped. The aggregate, disaggregated-AANHPI, and Hispanic-origin cells are unchanged because they already use an NHW comparator; the dropped cells are those whose only representative used an unstratified White reference — the receptor-defined subtype set (Loo 2019), the ER/PR subtypes (Gleason 2012), and the two age-specific Black cells — confirming which findings depend on the unstratified-White comparator.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w:t>
      </w:r>
    </w:p>
    <w:p>
      <w:pPr>
        <w:spacing w:after="80"/>
      </w:pPr>
      <w:r>
        <w:rPr>
          <w:rFonts w:ascii="Malgun Gothic" w:cs="Malgun Gothic" w:eastAsia="Malgun Gothic" w:hAnsi="Malgun Gothic"/>
          <w:i w:val="false"/>
          <w:iCs w:val="false"/>
          <w:sz w:val="18"/>
          <w:szCs w:val="18"/>
        </w:rPr>
        <w:t xml:space="preserve">with how it was derived, so each is reproducible. Estimates reported by the source as a ratio</w:t>
      </w:r>
    </w:p>
    <w:p>
      <w:pPr>
        <w:spacing w:after="80"/>
      </w:pPr>
      <w:r>
        <w:rPr>
          <w:rFonts w:ascii="Malgun Gothic" w:cs="Malgun Gothic" w:eastAsia="Malgun Gothic" w:hAnsi="Malgun Gothic"/>
          <w:i w:val="false"/>
          <w:iCs w:val="false"/>
          <w:sz w:val="18"/>
          <w:szCs w:val="18"/>
        </w:rPr>
        <w:t xml:space="preserve">(`directly-reported-IRR` / `-SIR`) are taken verbatim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Each race's 14 age-specific rates were standardized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95% CIs computed by variance propagation. Suppl Table 3 reports a 95% CI</w:t>
      </w:r>
    </w:p>
    <w:p>
      <w:pPr>
        <w:spacing w:after="80"/>
      </w:pPr>
      <w:r>
        <w:rPr>
          <w:rFonts w:ascii="Malgun Gothic" w:cs="Malgun Gothic" w:eastAsia="Malgun Gothic" w:hAnsi="Malgun Gothic"/>
          <w:i w:val="false"/>
          <w:iCs w:val="false"/>
          <w:sz w:val="18"/>
          <w:szCs w:val="18"/>
        </w:rPr>
        <w:t xml:space="preserve">• for every age-specific rate. SE per band =</w:t>
      </w:r>
    </w:p>
    <w:p>
      <w:pPr>
        <w:spacing w:after="80"/>
      </w:pPr>
      <w:r>
        <w:rPr>
          <w:rFonts w:ascii="Malgun Gothic" w:cs="Malgun Gothic" w:eastAsia="Malgun Gothic" w:hAnsi="Malgun Gothic"/>
          <w:i w:val="false"/>
          <w:iCs w:val="false"/>
          <w:sz w:val="18"/>
          <w:szCs w:val="18"/>
        </w:rPr>
        <w:t xml:space="preserve">• (hi−lo)/(2·1.96); Var(std_rate) = Σ(w_i/Σw)²·SE_i²; SE(logIRR) =</w:t>
      </w:r>
    </w:p>
    <w:p>
      <w:pPr>
        <w:spacing w:after="80"/>
      </w:pPr>
      <w:r>
        <w:rPr>
          <w:rFonts w:ascii="Malgun Gothic" w:cs="Malgun Gothic" w:eastAsia="Malgun Gothic" w:hAnsi="Malgun Gothic"/>
          <w:i w:val="false"/>
          <w:iCs w:val="false"/>
          <w:sz w:val="18"/>
          <w:szCs w:val="18"/>
        </w:rPr>
        <w:t xml:space="preserve">• √[(SE_min/std_min)² + (SE_nhw/std_nhw)²]. Provenance =</w:t>
      </w:r>
    </w:p>
    <w:p>
      <w:pPr>
        <w:spacing w:after="80"/>
      </w:pPr>
      <w:r>
        <w:rPr>
          <w:rFonts w:ascii="Malgun Gothic" w:cs="Malgun Gothic" w:eastAsia="Malgun Gothic" w:hAnsi="Malgun Gothic"/>
          <w:i w:val="false"/>
          <w:iCs w:val="false"/>
          <w:sz w:val="18"/>
          <w:szCs w:val="18"/>
        </w:rPr>
        <w:t xml:space="preserve">• `computed-from-rates-with-CI` (e.g., TNBC Black 1.82 [1.70, 1.95],</w:t>
      </w:r>
    </w:p>
    <w:p>
      <w:pPr>
        <w:spacing w:after="80"/>
      </w:pPr>
      <w:r>
        <w:rPr>
          <w:rFonts w:ascii="Malgun Gothic" w:cs="Malgun Gothic" w:eastAsia="Malgun Gothic" w:hAnsi="Malgun Gothic"/>
          <w:i w:val="false"/>
          <w:iCs w:val="false"/>
          <w:sz w:val="18"/>
          <w:szCs w:val="18"/>
        </w:rPr>
        <w:t xml:space="preserve">• HR+/HER2− AANHPI 0.69 [0.66, 0.72]).</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(or `directly-reported-rate` where the source printed the rate).</w:t>
      </w:r>
    </w:p>
    <w:p>
      <w:pPr>
        <w:spacing w:after="80"/>
      </w:pPr>
      <w:r>
        <w:rPr>
          <w:rFonts w:ascii="Malgun Gothic" w:cs="Malgun Gothic" w:eastAsia="Malgun Gothic" w:hAnsi="Malgun Gothic"/>
          <w:i w:val="false"/>
          <w:iCs w:val="false"/>
          <w:sz w:val="18"/>
          <w:szCs w:val="18"/>
        </w:rPr>
        <w:t xml:space="preserve">The records in each class:</w:t>
      </w:r>
    </w:p>
    <w:p>
      <w:pPr>
        <w:spacing w:after="80"/>
      </w:pPr>
      <w:r>
        <w:rPr>
          <w:rFonts w:ascii="Malgun Gothic" w:cs="Malgun Gothic" w:eastAsia="Malgun Gothic" w:hAnsi="Malgun Gothic"/>
          <w:i w:val="false"/>
          <w:iCs w:val="false"/>
          <w:sz w:val="18"/>
          <w:szCs w:val="18"/>
        </w:rPr>
        <w:t xml:space="preserve">• with CI: Davis Lynn 2025, Gleason 2012, Anderson 2008, Keegan 2010, Richardson 2016, Ihenacho 2023, Xie 2022, Gomez 2003, Miller 2008.</w:t>
      </w:r>
    </w:p>
    <w:p>
      <w:pPr>
        <w:spacing w:after="80"/>
      </w:pPr>
      <w:r>
        <w:rPr>
          <w:rFonts w:ascii="Malgun Gothic" w:cs="Malgun Gothic" w:eastAsia="Malgun Gothic" w:hAnsi="Malgun Gothic"/>
          <w:i w:val="false"/>
          <w:iCs w:val="false"/>
          <w:sz w:val="18"/>
          <w:szCs w:val="18"/>
        </w:rPr>
        <w:t xml:space="preserve">• point only (no CI): Liu 2012, Lund 2010, Keegan 2007, Harper 2009, Gopalani 2020, McCracken 2007.</w:t>
      </w:r>
    </w:p>
    <w:p>
      <w:pPr>
        <w:spacing w:after="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the IRR remains comparable (a ratio); the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w:t>
      </w:r>
    </w:p>
    <w:p>
      <w:pPr>
        <w:spacing w:after="80"/>
      </w:pPr>
      <w:r>
        <w:rPr>
          <w:rFonts w:ascii="Malgun Gothic" w:cs="Malgun Gothic" w:eastAsia="Malgun Gothic" w:hAnsi="Malgun Gothic"/>
          <w:i w:val="false"/>
          <w:iCs w:val="false"/>
          <w:sz w:val="18"/>
          <w:szCs w:val="18"/>
        </w:rPr>
        <w:t xml:space="preserve">sqrt(1/D_min + 1/D_nhw) (D = cases); provenance `computed-from-rates-Poisson-SE`.</w:t>
      </w:r>
    </w:p>
    <w:p>
      <w:pPr>
        <w:spacing w:after="80"/>
      </w:pPr>
      <w:r>
        <w:rPr>
          <w:rFonts w:ascii="Malgun Gothic" w:cs="Malgun Gothic" w:eastAsia="Malgun Gothic" w:hAnsi="Malgun Gothic"/>
          <w:i w:val="false"/>
          <w:iCs w:val="false"/>
          <w:sz w:val="18"/>
          <w:szCs w:val="18"/>
        </w:rPr>
        <w:t xml:space="preserve">• Ellington 2022 (USCS). Aggregate age-adjusted rates for women aged ≥20</w:t>
      </w:r>
    </w:p>
    <w:p>
      <w:pPr>
        <w:spacing w:after="80"/>
      </w:pPr>
      <w:r>
        <w:rPr>
          <w:rFonts w:ascii="Malgun Gothic" w:cs="Malgun Gothic" w:eastAsia="Malgun Gothic" w:hAnsi="Malgun Gothic"/>
          <w:i w:val="false"/>
          <w:iCs w:val="false"/>
          <w:sz w:val="18"/>
          <w:szCs w:val="18"/>
        </w:rPr>
        <w:t xml:space="preserve">• (USCS, ~99% coverage): Black 174.0, Hispanic 134.0, Asian/PI 143.5, AI/AN 127.3, vs</w:t>
      </w:r>
    </w:p>
    <w:p>
      <w:pPr>
        <w:spacing w:after="80"/>
      </w:pPr>
      <w:r>
        <w:rPr>
          <w:rFonts w:ascii="Malgun Gothic" w:cs="Malgun Gothic" w:eastAsia="Malgun Gothic" w:hAnsi="Malgun Gothic"/>
          <w:i w:val="false"/>
          <w:iCs w:val="false"/>
          <w:sz w:val="18"/>
          <w:szCs w:val="18"/>
        </w:rPr>
        <w:t xml:space="preserve">• NHW 186.5; the paper reports rates, not ratios. IRR = minority / 186.5, with the CI</w:t>
      </w:r>
    </w:p>
    <w:p>
      <w:pPr>
        <w:spacing w:after="80"/>
      </w:pPr>
      <w:r>
        <w:rPr>
          <w:rFonts w:ascii="Malgun Gothic" w:cs="Malgun Gothic" w:eastAsia="Malgun Gothic" w:hAnsi="Malgun Gothic"/>
          <w:i w:val="false"/>
          <w:iCs w:val="false"/>
          <w:sz w:val="18"/>
          <w:szCs w:val="18"/>
        </w:rPr>
        <w:t xml:space="preserve">• from the annual case counts (e.g., Black 0.933 [0.920, 0.946], Hispanic 0.718</w:t>
      </w:r>
    </w:p>
    <w:p>
      <w:pPr>
        <w:spacing w:after="80"/>
      </w:pPr>
      <w:r>
        <w:rPr>
          <w:rFonts w:ascii="Malgun Gothic" w:cs="Malgun Gothic" w:eastAsia="Malgun Gothic" w:hAnsi="Malgun Gothic"/>
          <w:i w:val="false"/>
          <w:iCs w:val="false"/>
          <w:sz w:val="18"/>
          <w:szCs w:val="18"/>
        </w:rPr>
        <w:t xml:space="preserve">• [0.707, 0.731]). This supplies three of the four aggregate overall estimates.</w:t>
      </w:r>
    </w:p>
    <w:p>
      <w:pPr>
        <w:spacing w:after="80"/>
      </w:pPr>
      <w:r>
        <w:rPr>
          <w:rFonts w:ascii="Malgun Gothic" w:cs="Malgun Gothic" w:eastAsia="Malgun Gothic" w:hAnsi="Malgun Gothic"/>
          <w:i w:val="false"/>
          <w:iCs w:val="false"/>
          <w:sz w:val="18"/>
          <w:szCs w:val="18"/>
        </w:rPr>
        <w:t xml:space="preserve">• Brinton 2008, Cronin 2012. Rates with case counts but no</w:t>
      </w:r>
    </w:p>
    <w:p>
      <w:pPr>
        <w:spacing w:after="80"/>
      </w:pPr>
      <w:r>
        <w:rPr>
          <w:rFonts w:ascii="Malgun Gothic" w:cs="Malgun Gothic" w:eastAsia="Malgun Gothic" w:hAnsi="Malgun Gothic"/>
          <w:i w:val="false"/>
          <w:iCs w:val="false"/>
          <w:sz w:val="18"/>
          <w:szCs w:val="18"/>
        </w:rPr>
        <w:t xml:space="preserve">• ratio CI; SE(logIRR) from the counts as above.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Gomez 2026. Disaggregated AANHPI rates are in the main Table</w:t>
      </w:r>
    </w:p>
    <w:p>
      <w:pPr>
        <w:spacing w:after="80"/>
      </w:pPr>
      <w:r>
        <w:rPr>
          <w:rFonts w:ascii="Malgun Gothic" w:cs="Malgun Gothic" w:eastAsia="Malgun Gothic" w:hAnsi="Malgun Gothic"/>
          <w:i w:val="false"/>
          <w:iCs w:val="false"/>
          <w:sz w:val="18"/>
          <w:szCs w:val="18"/>
        </w:rPr>
        <w:t xml:space="preserve">• (2018–2022, SEER-21); the in-paper NHW comparator is eTable 3 (Supplement 1):</w:t>
      </w:r>
    </w:p>
    <w:p>
      <w:pPr>
        <w:spacing w:after="80"/>
      </w:pPr>
      <w:r>
        <w:rPr>
          <w:rFonts w:ascii="Malgun Gothic" w:cs="Malgun Gothic" w:eastAsia="Malgun Gothic" w:hAnsi="Malgun Gothic"/>
          <w:i w:val="false"/>
          <w:iCs w:val="false"/>
          <w:sz w:val="18"/>
          <w:szCs w:val="18"/>
        </w:rPr>
        <w:t xml:space="preserve">• Non-Hispanic White 139.5 (139.0–140.0), same registry (SEER-21), same period</w:t>
      </w:r>
    </w:p>
    <w:p>
      <w:pPr>
        <w:spacing w:after="80"/>
      </w:pPr>
      <w:r>
        <w:rPr>
          <w:rFonts w:ascii="Malgun Gothic" w:cs="Malgun Gothic" w:eastAsia="Malgun Gothic" w:hAnsi="Malgun Gothic"/>
          <w:i w:val="false"/>
          <w:iCs w:val="false"/>
          <w:sz w:val="18"/>
          <w:szCs w:val="18"/>
        </w:rPr>
        <w:t xml:space="preserve">• (2018–2022), same standard (2000 US). IRRs = subgroup rate / 139.5 with 95% CIs</w:t>
      </w:r>
    </w:p>
    <w:p>
      <w:pPr>
        <w:spacing w:after="80"/>
      </w:pPr>
      <w:r>
        <w:rPr>
          <w:rFonts w:ascii="Malgun Gothic" w:cs="Malgun Gothic" w:eastAsia="Malgun Gothic" w:hAnsi="Malgun Gothic"/>
          <w:i w:val="false"/>
          <w:iCs w:val="false"/>
          <w:sz w:val="18"/>
          <w:szCs w:val="18"/>
        </w:rPr>
        <w:t xml:space="preserve">• propagated from both rate CIs.</w:t>
      </w:r>
    </w:p>
    <w:p>
      <w:pPr>
        <w:spacing w:after="80"/>
      </w:pPr>
      <w:r>
        <w:rPr>
          <w:rFonts w:ascii="Malgun Gothic" w:cs="Malgun Gothic" w:eastAsia="Malgun Gothic" w:hAnsi="Malgun Gothic"/>
          <w:i w:val="false"/>
          <w:iCs w:val="false"/>
          <w:sz w:val="18"/>
          <w:szCs w:val="18"/>
        </w:rPr>
        <w:t xml:space="preserve">• Pinheiro 2009. Table 4 gives origin-specific female-breast rates with 95% CIs</w:t>
      </w:r>
    </w:p>
    <w:p>
      <w:pPr>
        <w:spacing w:after="80"/>
      </w:pPr>
      <w:r>
        <w:rPr>
          <w:rFonts w:ascii="Malgun Gothic" w:cs="Malgun Gothic" w:eastAsia="Malgun Gothic" w:hAnsi="Malgun Gothic"/>
          <w:i w:val="false"/>
          <w:iCs w:val="false"/>
          <w:sz w:val="18"/>
          <w:szCs w:val="18"/>
        </w:rPr>
        <w:t xml:space="preserve">• (Cuban 108.0, Mexican 71.9, New Latino 97.8, Puerto Rican 116.9), and the</w:t>
      </w:r>
    </w:p>
    <w:p>
      <w:pPr>
        <w:spacing w:after="80"/>
      </w:pPr>
      <w:r>
        <w:rPr>
          <w:rFonts w:ascii="Malgun Gothic" w:cs="Malgun Gothic" w:eastAsia="Malgun Gothic" w:hAnsi="Malgun Gothic"/>
          <w:i w:val="false"/>
          <w:iCs w:val="false"/>
          <w:sz w:val="18"/>
          <w:szCs w:val="18"/>
        </w:rPr>
        <w:t xml:space="preserve">• non-Hispanic White Florida comparator is reported in Table 2: 140.4 (137.6–143.2),</w:t>
      </w:r>
    </w:p>
    <w:p>
      <w:pPr>
        <w:spacing w:after="80"/>
      </w:pPr>
      <w:r>
        <w:rPr>
          <w:rFonts w:ascii="Malgun Gothic" w:cs="Malgun Gothic" w:eastAsia="Malgun Gothic" w:hAnsi="Malgun Gothic"/>
          <w:i w:val="false"/>
          <w:iCs w:val="false"/>
          <w:sz w:val="18"/>
          <w:szCs w:val="18"/>
        </w:rPr>
        <w:t xml:space="preserve">• same registry (Florida, 1999–2001), same standard (2000 US). IRR = origin rate /</w:t>
      </w:r>
    </w:p>
    <w:p>
      <w:pPr>
        <w:spacing w:after="80"/>
      </w:pPr>
      <w:r>
        <w:rPr>
          <w:rFonts w:ascii="Malgun Gothic" w:cs="Malgun Gothic" w:eastAsia="Malgun Gothic" w:hAnsi="Malgun Gothic"/>
          <w:i w:val="false"/>
          <w:iCs w:val="false"/>
          <w:sz w:val="18"/>
          <w:szCs w:val="18"/>
        </w:rPr>
        <w:t xml:space="preserve">• 140.4, with the 95% CI propagated from both rate CIs by the delta method (e.g.,</w:t>
      </w:r>
    </w:p>
    <w:p>
      <w:pPr>
        <w:spacing w:after="80"/>
      </w:pPr>
      <w:r>
        <w:rPr>
          <w:rFonts w:ascii="Malgun Gothic" w:cs="Malgun Gothic" w:eastAsia="Malgun Gothic" w:hAnsi="Malgun Gothic"/>
          <w:i w:val="false"/>
          <w:iCs w:val="false"/>
          <w:sz w:val="18"/>
          <w:szCs w:val="18"/>
        </w:rPr>
        <w:t xml:space="preserve">• Cuban 0.769 [0.688, 0.860]). These reproduce the authors' printed rounded rate</w:t>
      </w:r>
    </w:p>
    <w:p>
      <w:pPr>
        <w:spacing w:after="80"/>
      </w:pPr>
      <w:r>
        <w:rPr>
          <w:rFonts w:ascii="Malgun Gothic" w:cs="Malgun Gothic" w:eastAsia="Malgun Gothic" w:hAnsi="Malgun Gothic"/>
          <w:i w:val="false"/>
          <w:iCs w:val="false"/>
          <w:sz w:val="18"/>
          <w:szCs w:val="18"/>
        </w:rPr>
        <w:t xml:space="preserve">• ratios (0.8/0.5/0.7/0.8).</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the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an in-paper US White reference; Nash 2019 is the</w:t>
      </w:r>
    </w:p>
    <w:p>
      <w:pPr>
        <w:spacing w:after="80"/>
      </w:pPr>
      <w:r>
        <w:rPr>
          <w:rFonts w:ascii="Malgun Gothic" w:cs="Malgun Gothic" w:eastAsia="Malgun Gothic" w:hAnsi="Malgun Gothic"/>
          <w:i w:val="false"/>
          <w:iCs w:val="false"/>
          <w:sz w:val="18"/>
          <w:szCs w:val="18"/>
        </w:rPr>
        <w:t xml:space="preserve">• cell representative and Nash 2022 is a sensitivity/overlap estimate (the 0.95 vs</w:t>
      </w:r>
    </w:p>
    <w:p>
      <w:pPr>
        <w:spacing w:after="80"/>
      </w:pPr>
      <w:r>
        <w:rPr>
          <w:rFonts w:ascii="Malgun Gothic" w:cs="Malgun Gothic" w:eastAsia="Malgun Gothic" w:hAnsi="Malgun Gothic"/>
          <w:i w:val="false"/>
          <w:iCs w:val="false"/>
          <w:sz w:val="18"/>
          <w:szCs w:val="18"/>
        </w:rPr>
        <w:t xml:space="preserve">• 1.09 difference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Carozza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The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w:t>
      </w:r>
    </w:p>
    <w:p>
      <w:pPr>
        <w:pStyle w:val="Heading2"/>
        <w:spacing w:after="100" w:before="200"/>
      </w:pPr>
      <w:r>
        <w:rPr>
          <w:rFonts w:ascii="Malgun Gothic" w:cs="Malgun Gothic" w:eastAsia="Malgun Gothic" w:hAnsi="Malgun Gothic"/>
          <w:b/>
          <w:bCs/>
          <w:sz w:val="20"/>
          <w:szCs w:val="20"/>
        </w:rPr>
        <w:t xml:space="preserve">6.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and taken as-is. The overall Black</w:t>
      </w:r>
    </w:p>
    <w:p>
      <w:pPr>
        <w:spacing w:after="80"/>
      </w:pPr>
      <w:r>
        <w:rPr>
          <w:rFonts w:ascii="Malgun Gothic" w:cs="Malgun Gothic" w:eastAsia="Malgun Gothic" w:hAnsi="Malgun Gothic"/>
          <w:i w:val="false"/>
          <w:iCs w:val="false"/>
          <w:sz w:val="18"/>
          <w:szCs w:val="18"/>
        </w:rPr>
        <w:t xml:space="preserve">• statement is printed NHW-vs-Black (1.04); it would invert to 0.96 but was left</w:t>
      </w:r>
    </w:p>
    <w:p>
      <w:pPr>
        <w:spacing w:after="80"/>
      </w:pPr>
      <w:r>
        <w:rPr>
          <w:rFonts w:ascii="Malgun Gothic" w:cs="Malgun Gothic" w:eastAsia="Malgun Gothic" w:hAnsi="Malgun Gothic"/>
          <w:i w:val="false"/>
          <w:iCs w:val="false"/>
          <w:sz w:val="18"/>
          <w:szCs w:val="18"/>
        </w:rPr>
        <w:t xml:space="preserve">• unrecorded as ambiguous.</w:t>
      </w:r>
    </w:p>
    <w:p>
      <w:pPr>
        <w:pStyle w:val="Heading2"/>
        <w:spacing w:after="100" w:before="200"/>
      </w:pPr>
      <w:r>
        <w:rPr>
          <w:rFonts w:ascii="Malgun Gothic" w:cs="Malgun Gothic" w:eastAsia="Malgun Gothic" w:hAnsi="Malgun Gothic"/>
          <w:b/>
          <w:bCs/>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six were read from full text and enter the ledger only as</w:t>
      </w:r>
    </w:p>
    <w:p>
      <w:pPr>
        <w:spacing w:after="80"/>
      </w:pPr>
      <w:r>
        <w:rPr>
          <w:rFonts w:ascii="Malgun Gothic" w:cs="Malgun Gothic" w:eastAsia="Malgun Gothic" w:hAnsi="Malgun Gothic"/>
          <w:i w:val="false"/>
          <w:iCs w:val="false"/>
          <w:sz w:val="18"/>
          <w:szCs w:val="18"/>
        </w:rPr>
        <w:t xml:space="preserve">overlap/sensitivity rows; each collapses to an existing cell representative</w:t>
      </w:r>
    </w:p>
    <w:p>
      <w:pPr>
        <w:spacing w:after="80"/>
      </w:pPr>
      <w:r>
        <w:rPr>
          <w:rFonts w:ascii="Malgun Gothic" w:cs="Malgun Gothic" w:eastAsia="Malgun Gothic" w:hAnsi="Malgun Gothic"/>
          <w:i w:val="false"/>
          <w:iCs w:val="false"/>
          <w:sz w:val="18"/>
          <w:szCs w:val="18"/>
        </w:rPr>
        <w:t xml:space="preserve">(finalize_representatives), so none changes a main-text estimate.</w:t>
      </w:r>
    </w:p>
    <w:p>
      <w:pPr>
        <w:spacing w:after="80"/>
      </w:pPr>
      <w:r>
        <w:rPr>
          <w:rFonts w:ascii="Malgun Gothic" w:cs="Malgun Gothic" w:eastAsia="Malgun Gothic" w:hAnsi="Malgun Gothic"/>
          <w:i w:val="false"/>
          <w:iCs w:val="false"/>
          <w:sz w:val="18"/>
          <w:szCs w:val="18"/>
        </w:rPr>
        <w:t xml:space="preserve">• Gomez  2010 (Gomez 2010, California Cancer Registry, 1988-2004). Table 1</w:t>
      </w:r>
    </w:p>
    <w:p>
      <w:pPr>
        <w:spacing w:after="80"/>
      </w:pPr>
      <w:r>
        <w:rPr>
          <w:rFonts w:ascii="Malgun Gothic" w:cs="Malgun Gothic" w:eastAsia="Malgun Gothic" w:hAnsi="Malgun Gothic"/>
          <w:i w:val="false"/>
          <w:iCs w:val="false"/>
          <w:sz w:val="18"/>
          <w:szCs w:val="18"/>
        </w:rPr>
        <w:t xml:space="preserve">• prints age-standardized (2000 US) invasive breast rates: NHW 146.1</w:t>
      </w:r>
    </w:p>
    <w:p>
      <w:pPr>
        <w:spacing w:after="80"/>
      </w:pPr>
      <w:r>
        <w:rPr>
          <w:rFonts w:ascii="Malgun Gothic" w:cs="Malgun Gothic" w:eastAsia="Malgun Gothic" w:hAnsi="Malgun Gothic"/>
          <w:i w:val="false"/>
          <w:iCs w:val="false"/>
          <w:sz w:val="18"/>
          <w:szCs w:val="18"/>
        </w:rPr>
        <w:t xml:space="preserve">• (145.5-146.7); Chinese 73.5 (71.6-75.4), Japanese 102.5 (99.3-105.9), Filipina</w:t>
      </w:r>
    </w:p>
    <w:p>
      <w:pPr>
        <w:spacing w:after="80"/>
      </w:pPr>
      <w:r>
        <w:rPr>
          <w:rFonts w:ascii="Malgun Gothic" w:cs="Malgun Gothic" w:eastAsia="Malgun Gothic" w:hAnsi="Malgun Gothic"/>
          <w:i w:val="false"/>
          <w:iCs w:val="false"/>
          <w:sz w:val="18"/>
          <w:szCs w:val="18"/>
        </w:rPr>
        <w:t xml:space="preserve">• 100.4 (98.1-102.8), Korean 46.3 (43.8-49.0), Vietnamese 59.9 (56.7-63.1). IRR =</w:t>
      </w:r>
    </w:p>
    <w:p>
      <w:pPr>
        <w:spacing w:after="80"/>
      </w:pPr>
      <w:r>
        <w:rPr>
          <w:rFonts w:ascii="Malgun Gothic" w:cs="Malgun Gothic" w:eastAsia="Malgun Gothic" w:hAnsi="Malgun Gothic"/>
          <w:i w:val="false"/>
          <w:iCs w:val="false"/>
          <w:sz w:val="18"/>
          <w:szCs w:val="18"/>
        </w:rPr>
        <w:t xml:space="preserve">• rate/146.1 with delta-method CI (e.g. Chinese 0.503, 0.490-0.516). State</w:t>
      </w:r>
    </w:p>
    <w:p>
      <w:pPr>
        <w:spacing w:after="80"/>
      </w:pPr>
      <w:r>
        <w:rPr>
          <w:rFonts w:ascii="Malgun Gothic" w:cs="Malgun Gothic" w:eastAsia="Malgun Gothic" w:hAnsi="Malgun Gothic"/>
          <w:i w:val="false"/>
          <w:iCs w:val="false"/>
          <w:sz w:val="18"/>
          <w:szCs w:val="18"/>
        </w:rPr>
        <w:t xml:space="preserve">• registry (&lt; national SEER-21); overlaps the SEER-21 subgroup reps (Gomez 2026).</w:t>
      </w:r>
    </w:p>
    <w:p>
      <w:pPr>
        <w:spacing w:after="80"/>
      </w:pPr>
      <w:r>
        <w:rPr>
          <w:rFonts w:ascii="Malgun Gothic" w:cs="Malgun Gothic" w:eastAsia="Malgun Gothic" w:hAnsi="Malgun Gothic"/>
          <w:i w:val="false"/>
          <w:iCs w:val="false"/>
          <w:sz w:val="18"/>
          <w:szCs w:val="18"/>
        </w:rPr>
        <w:t xml:space="preserve">• Jin  2016 (Jin 2016, eight-state SEER+NPCR, 2009-2011). Table 4 (female)</w:t>
      </w:r>
    </w:p>
    <w:p>
      <w:pPr>
        <w:spacing w:after="80"/>
      </w:pPr>
      <w:r>
        <w:rPr>
          <w:rFonts w:ascii="Malgun Gothic" w:cs="Malgun Gothic" w:eastAsia="Malgun Gothic" w:hAnsi="Malgun Gothic"/>
          <w:i w:val="false"/>
          <w:iCs w:val="false"/>
          <w:sz w:val="18"/>
          <w:szCs w:val="18"/>
        </w:rPr>
        <w:t xml:space="preserve">• prints breast rates with CIs: NHW 134.4 (133.8-135.1); Chinese 82.8, Filipina</w:t>
      </w:r>
    </w:p>
    <w:p>
      <w:pPr>
        <w:spacing w:after="80"/>
      </w:pPr>
      <w:r>
        <w:rPr>
          <w:rFonts w:ascii="Malgun Gothic" w:cs="Malgun Gothic" w:eastAsia="Malgun Gothic" w:hAnsi="Malgun Gothic"/>
          <w:i w:val="false"/>
          <w:iCs w:val="false"/>
          <w:sz w:val="18"/>
          <w:szCs w:val="18"/>
        </w:rPr>
        <w:t xml:space="preserve">• 111.3, Japanese 127.8, Korean 75.6, South Asian [=Asian Indian/Pakistani]</w:t>
      </w:r>
    </w:p>
    <w:p>
      <w:pPr>
        <w:spacing w:after="80"/>
      </w:pPr>
      <w:r>
        <w:rPr>
          <w:rFonts w:ascii="Malgun Gothic" w:cs="Malgun Gothic" w:eastAsia="Malgun Gothic" w:hAnsi="Malgun Gothic"/>
          <w:i w:val="false"/>
          <w:iCs w:val="false"/>
          <w:sz w:val="18"/>
          <w:szCs w:val="18"/>
        </w:rPr>
        <w:t xml:space="preserve">• 106.3, Vietnamese 72.2, Asian aggregate 94.5. IRR = rate/134.4, delta-method</w:t>
      </w:r>
    </w:p>
    <w:p>
      <w:pPr>
        <w:spacing w:after="80"/>
      </w:pPr>
      <w:r>
        <w:rPr>
          <w:rFonts w:ascii="Malgun Gothic" w:cs="Malgun Gothic" w:eastAsia="Malgun Gothic" w:hAnsi="Malgun Gothic"/>
          <w:i w:val="false"/>
          <w:iCs w:val="false"/>
          <w:sz w:val="18"/>
          <w:szCs w:val="18"/>
        </w:rPr>
        <w:t xml:space="preserve">• CI. Eight-state subset (&lt; national SEER-21); overlaps Gomez 2026.</w:t>
      </w:r>
    </w:p>
    <w:p>
      <w:pPr>
        <w:spacing w:after="80"/>
      </w:pPr>
      <w:r>
        <w:rPr>
          <w:rFonts w:ascii="Malgun Gothic" w:cs="Malgun Gothic" w:eastAsia="Malgun Gothic" w:hAnsi="Malgun Gothic"/>
          <w:i w:val="false"/>
          <w:iCs w:val="false"/>
          <w:sz w:val="18"/>
          <w:szCs w:val="18"/>
        </w:rPr>
        <w:t xml:space="preserve">• Watanabe-Galloway  2015 (Watanabe-Galloway 2015, NE/ND/SD state registries, 2002-2009).</w:t>
      </w:r>
    </w:p>
    <w:p>
      <w:pPr>
        <w:spacing w:after="80"/>
      </w:pPr>
      <w:r>
        <w:rPr>
          <w:rFonts w:ascii="Malgun Gothic" w:cs="Malgun Gothic" w:eastAsia="Malgun Gothic" w:hAnsi="Malgun Gothic"/>
          <w:i w:val="false"/>
          <w:iCs w:val="false"/>
          <w:sz w:val="18"/>
          <w:szCs w:val="18"/>
        </w:rPr>
        <w:t xml:space="preserve">• Table 2 prints all-ages age-standardized (2000 US) breast rates: AI/AN 134.6,</w:t>
      </w:r>
    </w:p>
    <w:p>
      <w:pPr>
        <w:spacing w:after="80"/>
      </w:pPr>
      <w:r>
        <w:rPr>
          <w:rFonts w:ascii="Malgun Gothic" w:cs="Malgun Gothic" w:eastAsia="Malgun Gothic" w:hAnsi="Malgun Gothic"/>
          <w:i w:val="false"/>
          <w:iCs w:val="false"/>
          <w:sz w:val="18"/>
          <w:szCs w:val="18"/>
        </w:rPr>
        <w:t xml:space="preserve">• NHW 149.3, RR 0.9. IRR = 134.6/149.3 = 0.902. Unlinked state registries</w:t>
      </w:r>
    </w:p>
    <w:p>
      <w:pPr>
        <w:spacing w:after="80"/>
      </w:pPr>
      <w:r>
        <w:rPr>
          <w:rFonts w:ascii="Malgun Gothic" w:cs="Malgun Gothic" w:eastAsia="Malgun Gothic" w:hAnsi="Malgun Gothic"/>
          <w:i w:val="false"/>
          <w:iCs w:val="false"/>
          <w:sz w:val="18"/>
          <w:szCs w:val="18"/>
        </w:rPr>
        <w:t xml:space="preserve">• undercount AI/AN, so this is demoted by the AI/AN-undercount rule below the</w:t>
      </w:r>
    </w:p>
    <w:p>
      <w:pPr>
        <w:spacing w:after="80"/>
      </w:pPr>
      <w:r>
        <w:rPr>
          <w:rFonts w:ascii="Malgun Gothic" w:cs="Malgun Gothic" w:eastAsia="Malgun Gothic" w:hAnsi="Malgun Gothic"/>
          <w:i w:val="false"/>
          <w:iCs w:val="false"/>
          <w:sz w:val="18"/>
          <w:szCs w:val="18"/>
        </w:rPr>
        <w:t xml:space="preserve">• IHS-linked Northern-Plains representative (Melkonian 2021).</w:t>
      </w:r>
    </w:p>
    <w:p>
      <w:pPr>
        <w:spacing w:after="80"/>
      </w:pPr>
      <w:r>
        <w:rPr>
          <w:rFonts w:ascii="Malgun Gothic" w:cs="Malgun Gothic" w:eastAsia="Malgun Gothic" w:hAnsi="Malgun Gothic"/>
          <w:i w:val="false"/>
          <w:iCs w:val="false"/>
          <w:sz w:val="18"/>
          <w:szCs w:val="18"/>
        </w:rPr>
        <w:t xml:space="preserve">• Melkonian  2022 (Melkonian 2022, urban IHS-linked USCS-AIAD, 2008-2017). Table 2</w:t>
      </w:r>
    </w:p>
    <w:p>
      <w:pPr>
        <w:spacing w:after="80"/>
      </w:pPr>
      <w:r>
        <w:rPr>
          <w:rFonts w:ascii="Malgun Gothic" w:cs="Malgun Gothic" w:eastAsia="Malgun Gothic" w:hAnsi="Malgun Gothic"/>
          <w:i w:val="false"/>
          <w:iCs w:val="false"/>
          <w:sz w:val="18"/>
          <w:szCs w:val="18"/>
        </w:rPr>
        <w:t xml:space="preserve">• prints all-ages breast rates for urban populations: AI/AN 74.2, NHW 129.6, RR</w:t>
      </w:r>
    </w:p>
    <w:p>
      <w:pPr>
        <w:spacing w:after="80"/>
      </w:pPr>
      <w:r>
        <w:rPr>
          <w:rFonts w:ascii="Malgun Gothic" w:cs="Malgun Gothic" w:eastAsia="Malgun Gothic" w:hAnsi="Malgun Gothic"/>
          <w:i w:val="false"/>
          <w:iCs w:val="false"/>
          <w:sz w:val="18"/>
          <w:szCs w:val="18"/>
        </w:rPr>
        <w:t xml:space="preserve">• 0.57. IRR = 74.2/129.6 = 0.573. Urban-restricted IHS subset (&lt; full PRCDA);</w:t>
      </w:r>
    </w:p>
    <w:p>
      <w:pPr>
        <w:spacing w:after="80"/>
      </w:pPr>
      <w:r>
        <w:rPr>
          <w:rFonts w:ascii="Malgun Gothic" w:cs="Malgun Gothic" w:eastAsia="Malgun Gothic" w:hAnsi="Malgun Gothic"/>
          <w:i w:val="false"/>
          <w:iCs w:val="false"/>
          <w:sz w:val="18"/>
          <w:szCs w:val="18"/>
        </w:rPr>
        <w:t xml:space="preserve">• overlaps the AI/AN aggregate representative (Gopalani 2020).</w:t>
      </w:r>
    </w:p>
    <w:p>
      <w:pPr>
        <w:spacing w:after="80"/>
      </w:pPr>
      <w:r>
        <w:rPr>
          <w:rFonts w:ascii="Malgun Gothic" w:cs="Malgun Gothic" w:eastAsia="Malgun Gothic" w:hAnsi="Malgun Gothic"/>
          <w:i w:val="false"/>
          <w:iCs w:val="false"/>
          <w:sz w:val="18"/>
          <w:szCs w:val="18"/>
        </w:rPr>
        <w:t xml:space="preserve">• Amirikia  2011 (Amirikia 2011, California Cancer Registry, 1988-2006). Table 2</w:t>
      </w:r>
    </w:p>
    <w:p>
      <w:pPr>
        <w:spacing w:after="80"/>
      </w:pPr>
      <w:r>
        <w:rPr>
          <w:rFonts w:ascii="Malgun Gothic" w:cs="Malgun Gothic" w:eastAsia="Malgun Gothic" w:hAnsi="Malgun Gothic"/>
          <w:i w:val="false"/>
          <w:iCs w:val="false"/>
          <w:sz w:val="18"/>
          <w:szCs w:val="18"/>
        </w:rPr>
        <w:t xml:space="preserve">• prints age-specific triple-negative rates by race (0-39, 40-49, 50-59, 60-74,</w:t>
      </w:r>
    </w:p>
    <w:p>
      <w:pPr>
        <w:spacing w:after="80"/>
      </w:pPr>
      <w:r>
        <w:rPr>
          <w:rFonts w:ascii="Malgun Gothic" w:cs="Malgun Gothic" w:eastAsia="Malgun Gothic" w:hAnsi="Malgun Gothic"/>
          <w:i w:val="false"/>
          <w:iCs w:val="false"/>
          <w:sz w:val="18"/>
          <w:szCs w:val="18"/>
        </w:rPr>
        <w:t xml:space="preserve">• &gt;=75). These were age-standardized by the review to all ages with 2000 US</w:t>
      </w:r>
    </w:p>
    <w:p>
      <w:pPr>
        <w:spacing w:after="80"/>
      </w:pPr>
      <w:r>
        <w:rPr>
          <w:rFonts w:ascii="Malgun Gothic" w:cs="Malgun Gothic" w:eastAsia="Malgun Gothic" w:hAnsi="Malgun Gothic"/>
          <w:i w:val="false"/>
          <w:iCs w:val="false"/>
          <w:sz w:val="18"/>
          <w:szCs w:val="18"/>
        </w:rPr>
        <w:t xml:space="preserve">• standard-population weights (0.5697/0.1540/0.1112/0.1048/0.0603): NHB 23.6, NHW</w:t>
      </w:r>
    </w:p>
    <w:p>
      <w:pPr>
        <w:spacing w:after="80"/>
      </w:pPr>
      <w:r>
        <w:rPr>
          <w:rFonts w:ascii="Malgun Gothic" w:cs="Malgun Gothic" w:eastAsia="Malgun Gothic" w:hAnsi="Malgun Gothic"/>
          <w:i w:val="false"/>
          <w:iCs w:val="false"/>
          <w:sz w:val="18"/>
          <w:szCs w:val="18"/>
        </w:rPr>
        <w:t xml:space="preserve">• 12.6, Hispanic 10.2 per 100,000. IRR(Black)=1.87, IRR(Hispanic)=0.81.</w:t>
      </w:r>
    </w:p>
    <w:p>
      <w:pPr>
        <w:spacing w:after="80"/>
      </w:pPr>
      <w:r>
        <w:rPr>
          <w:rFonts w:ascii="Malgun Gothic" w:cs="Malgun Gothic" w:eastAsia="Malgun Gothic" w:hAnsi="Malgun Gothic"/>
          <w:i w:val="false"/>
          <w:iCs w:val="false"/>
          <w:sz w:val="18"/>
          <w:szCs w:val="18"/>
        </w:rPr>
        <w:t xml:space="preserve">• California registry (&lt; national USCS); overlaps the USCS TNBC rep (Sung 2023).</w:t>
      </w:r>
    </w:p>
    <w:p>
      <w:pPr>
        <w:spacing w:after="80"/>
      </w:pPr>
      <w:r>
        <w:rPr>
          <w:rFonts w:ascii="Malgun Gothic" w:cs="Malgun Gothic" w:eastAsia="Malgun Gothic" w:hAnsi="Malgun Gothic"/>
          <w:i w:val="false"/>
          <w:iCs w:val="false"/>
          <w:sz w:val="18"/>
          <w:szCs w:val="18"/>
        </w:rPr>
        <w:t xml:space="preserve">• Zhang  2022 (Zhang 2022, NPCR+SEER/USCS, 2019). The text (Figure 2A) prints the</w:t>
      </w:r>
    </w:p>
    <w:p>
      <w:pPr>
        <w:spacing w:after="80"/>
      </w:pPr>
      <w:r>
        <w:rPr>
          <w:rFonts w:ascii="Malgun Gothic" w:cs="Malgun Gothic" w:eastAsia="Malgun Gothic" w:hAnsi="Malgun Gothic"/>
          <w:i w:val="false"/>
          <w:iCs w:val="false"/>
          <w:sz w:val="18"/>
          <w:szCs w:val="18"/>
        </w:rPr>
        <w:t xml:space="preserve">• 2019 age-adjusted triple-negative rates by race: NHB 25.0, NHW 12.8, Hispanic</w:t>
      </w:r>
    </w:p>
    <w:p>
      <w:pPr>
        <w:spacing w:after="80"/>
      </w:pPr>
      <w:r>
        <w:rPr>
          <w:rFonts w:ascii="Malgun Gothic" w:cs="Malgun Gothic" w:eastAsia="Malgun Gothic" w:hAnsi="Malgun Gothic"/>
          <w:i w:val="false"/>
          <w:iCs w:val="false"/>
          <w:sz w:val="18"/>
          <w:szCs w:val="18"/>
        </w:rPr>
        <w:t xml:space="preserve">• 11.5, AI/AN 9.4, AANHPI 9.5 per 100,000. IRR = rate/12.8 (NHB 1.95, Hispanic 0.90,</w:t>
      </w:r>
    </w:p>
    <w:p>
      <w:pPr>
        <w:spacing w:after="80"/>
      </w:pPr>
      <w:r>
        <w:rPr>
          <w:rFonts w:ascii="Malgun Gothic" w:cs="Malgun Gothic" w:eastAsia="Malgun Gothic" w:hAnsi="Malgun Gothic"/>
          <w:i w:val="false"/>
          <w:iCs w:val="false"/>
          <w:sz w:val="18"/>
          <w:szCs w:val="18"/>
        </w:rPr>
        <w:t xml:space="preserve">• AI/AN 0.73, AANHPI 0.74). Single-year 2019 cross-section; overlaps the USCS TNBC</w:t>
      </w:r>
    </w:p>
    <w:p>
      <w:pPr>
        <w:spacing w:after="80"/>
      </w:pPr>
      <w:r>
        <w:rPr>
          <w:rFonts w:ascii="Malgun Gothic" w:cs="Malgun Gothic" w:eastAsia="Malgun Gothic" w:hAnsi="Malgun Gothic"/>
          <w:i w:val="false"/>
          <w:iCs w:val="false"/>
          <w:sz w:val="18"/>
          <w:szCs w:val="18"/>
        </w:rPr>
        <w:t xml:space="preserve">• representative (Sung 2023, 2015-2019 mean), which is preferred on the longer span.</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2026-09-03T10:35:01.679Z</dcterms:created>
  <dcterms:modified xsi:type="dcterms:W3CDTF">2026-09-03T10:35:01.679Z</dcterms:modified>
</cp:coreProperties>
</file>

<file path=docProps/custom.xml><?xml version="1.0" encoding="utf-8"?>
<Properties xmlns="http://schemas.openxmlformats.org/officeDocument/2006/custom-properties" xmlns:vt="http://schemas.openxmlformats.org/officeDocument/2006/docPropsVTypes"/>
</file>