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following PRISMA 2020; those with a recoverable non-Hispanic White (NHW) comparison formed the quantitative synthesis and the rest the narrative synthesis. Because these registries overlap, one representative estimate per group and dimension was selected, not pooled. Each estimate was an incidence rate ratio (IRR) versus an NHW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Each representative therefore rested on a directly reported ratio or on minority and reference rates from the same source. One estimate paired an Alaska Native rate with an external SEER-Explorer non-Hispanic White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entered the analysis, contributing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74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0.64 (0.64–0.65), matching the study's reported standardized incidence ratio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1.33 (1.26–1.41) in the Southern Plains. The Northern Plains estimate was 0.90, a point estimate without a confidence interval, drawn from unlinked state registries that undercount AI/AN cases. Alaska Native women, whose cases are ascertained by the Indian Health Service–eligibility–based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55 of 74 cell representatives unchanged, with the 8 changed and 11 dropped cells concentrated in the disaggregated AANHPI subgroups and the age-specific cells; restricting to directly reported estimates left 35 unchanged (5 changed, 34 dropped); and restricting to NHW-comparator estimates left 56 unchanged (1 changed, 17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 non-Hispanic White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Southern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national registries misclassify race and undercount AI/AN cases, so an Indian Health Service–linked estimate was preferred for that group wherever one was available, and the reported AI/AN figures draw on those linked sources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contrast is visible across regions: the Indian Health Service–linked estimates place AI/AN breast incidence at or above the NHW rate in the Southern Plains (1.33) and among Alaska Native women (1.09), whereas the Northern Plains figure—available only from unlinked state registries—sits at 0.90 and understates incidence to the extent those registries miss AI/AN cases. The direction of the comparison thus shifts with case ascertainment.</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 (2002-2009)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51fdf130c6796d7bc1aa35d9785328f1b11a658.png"/><Relationship Id="rId8" Type="http://schemas.openxmlformats.org/officeDocument/2006/relationships/image" Target="media/73a8050a4aa3c8ecb6f88e5c36a921f0f375c0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2026-09-06T01:39:39.076Z</dcterms:created>
  <dcterms:modified xsi:type="dcterms:W3CDTF">2026-09-06T01:39:39.076Z</dcterms:modified>
</cp:coreProperties>
</file>

<file path=docProps/custom.xml><?xml version="1.0" encoding="utf-8"?>
<Properties xmlns="http://schemas.openxmlformats.org/officeDocument/2006/custom-properties" xmlns:vt="http://schemas.openxmlformats.org/officeDocument/2006/docPropsVTypes"/>
</file>