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White or non-Hispanic White (NHW) comparison formed the quantitative synthesis and the remainder the narrative synthesis.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Every representative therefore rested on either a directly reported ratio or on rates from a single source; none relied on a comparator supplied from outside its own study or back-estimated to reproduce a rounded ratio. The only estimate that borrowed an external reference—an Alaska Native rate whose source reported no in-paper White comparator, paired with a SEER-Explorer non-Hispanic White rate for the same period—was retained solely as a sensitivity overlap, never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—22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restricting to directly reported estimates left 35 unchanged (6 changed, 32 dropped); and restricting to NHW-comparator estimates left 56 unchanged (17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2026-09-03T09:17:24.861Z</dcterms:created>
  <dcterms:modified xsi:type="dcterms:W3CDTF">2026-09-03T09:17:24.862Z</dcterms:modified>
</cp:coreProperties>
</file>

<file path=docProps/custom.xml><?xml version="1.0" encoding="utf-8"?>
<Properties xmlns="http://schemas.openxmlformats.org/officeDocument/2006/custom-properties" xmlns:vt="http://schemas.openxmlformats.org/officeDocument/2006/docPropsVTypes"/>
</file>