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49 were eligible for quantitative synthesis and all provided extractable quantitative data that entered the analysis, and the remaining 113 contributed to the narrative synthesis only (162 = 49 + 113). Study design is classified from the data source; most included studies are population-based registry/incidence studies rather than cohort studies. A PMID (or DOI where no PMID exists) is given for every study so that each of the 162 included studies—including the 113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8</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7 cells; overlap for 3</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“Representative for N cell(s)” = supplied the main-analysis benchmark for N analytic cells (group × dimension); “overlap for M” = also contributed M overlapping estimates carried only in the sensitivity re-selection; “Overlap/sensitivity only” = every estimate overlapped a cell already represented by another study; “Narrative only” = met inclusion but reported no recoverable NHW comparison. One representative is selected per analytic cell (selection criteria in Methods and Supplementary Table 4).</w:t>
      </w: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Registry populations overlap and are partly nested (county ⊂ state ⊂ SEER; SEER and NPCR both feed USCS; state registries also contribute to NAACCR), so overlapping estimates for the same analytic cell are not independent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unlinked-registry AI/AN estimate demoted in favour of the IHS-linked representative; “no (registry-direct anchor)” = the SEER-Explorer reference value, not a screened study; “no (external comparator)” = an estimate that borrows an out-of-paper reference (a SEER-Explorer non-Hispanic White rate), retained only as an overlap record;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49 studies assessed, 39 were Low, 10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73 cells unchanged, 8 changed, 10 dropped. The changed and dropped cells were concentrated in the disaggregated AANHPI subgroups and the age-specific cells, whose representatives are computed estimates from moderate-risk-of-bias sources; the IHS-linked AI/AN representatives (aggregate, Navajo, Southern Plains, and Alaska Native) are unchanged because they are themselves low risk of bias, whereas the Northern Plains cell drops because its only estimate comes from unlinked state registries rated moderate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36 unchanged, 5 changed, 32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55 of 73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the single changed cell is Alaska Native, whose unstratified-White representative (Nash ANTR, 1.09) is replaced by the IHS-linked estimate reported against a non-Hispanic White reference (Melkonian, 1.25)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Keegan 2007,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Brinton 2008, Cronin 2012. Rates with case counts but no ratio CI; SE(logIRR) from the counts as above.</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2026-09-09T09:38:17.311Z</dcterms:created>
  <dcterms:modified xsi:type="dcterms:W3CDTF">2026-09-09T09:38:17.311Z</dcterms:modified>
</cp:coreProperties>
</file>

<file path=docProps/custom.xml><?xml version="1.0" encoding="utf-8"?>
<Properties xmlns="http://schemas.openxmlformats.org/officeDocument/2006/custom-properties" xmlns:vt="http://schemas.openxmlformats.org/officeDocument/2006/docPropsVTypes"/>
</file>