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and overlap or duplication was adjudicated from the full text.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with an explicit keyword filter and re-read at the full abstract; because a relaxed four-of-five-signal threshold recovered studies that stated a needed term only in a table rather than the abstract—one giving race-specific rates without an explicit rate term, and one without an explicit U.S. term—the residual risk of a missed study is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shows that the wide within-aggregate heterogeneity is reproducible across independent registries and stable under the sensitivity restrictions, so the pattern does not depend on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2026-09-17T11:40:03.871Z</dcterms:created>
  <dcterms:modified xsi:type="dcterms:W3CDTF">2026-09-17T11:40:03.871Z</dcterms:modified>
</cp:coreProperties>
</file>

<file path=docProps/custom.xml><?xml version="1.0" encoding="utf-8"?>
<Properties xmlns="http://schemas.openxmlformats.org/officeDocument/2006/custom-properties" xmlns:vt="http://schemas.openxmlformats.org/officeDocument/2006/docPropsVTypes"/>
</file>