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North America (NAACCR combined incidence dataset)</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 formerly Contract Health Service Delivery Area, CHSDA)</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 error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1. Final search strategy for each database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Note. Search conducted 7 August 2026. Concept blocks combined with AND: breast cancer × race/ethnicity × incidence/age-adjusted rate × United States. Limits: 2000–2026, English, human; document-type exclusions. Total records identified 9,099; duplicate records removed (cross-database) 4,306; unique records screened 4,793.</w:t>
      </w:r>
    </w:p>
    <w:p>
      <w:r>
        <w:br w:type="page"/>
      </w:r>
    </w:p>
    <w:p>
      <w:pPr>
        <w:spacing w:after="100" w:before="200"/>
      </w:pPr>
      <w:r>
        <w:rPr>
          <w:rFonts w:ascii="Malgun Gothic" w:cs="Malgun Gothic" w:eastAsia="Malgun Gothic" w:hAnsi="Malgun Gothic"/>
          <w:b/>
          <w:bCs/>
          <w:color w:val="000000"/>
          <w:sz w:val="24"/>
          <w:szCs w:val="24"/>
        </w:rPr>
        <w:t xml:space="preserve">Supplementary Table 2. Characteristics of included studies (n = 176)</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37"/>
        <w:gridCol w:w="2557"/>
        <w:gridCol w:w="2422"/>
        <w:gridCol w:w="3634"/>
        <w:gridCol w:w="1750"/>
      </w:tblGrid>
      <w:tr>
        <w:trPr>
          <w:tblHeader/>
        </w:trPr>
        <w:tc>
          <w:tcPr>
            <w:tcW w:type="dxa" w:w="4037"/>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557"/>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22"/>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634"/>
            <w:tcMar>
              <w:top w:type="dxa" w:w="25"/>
              <w:left w:type="dxa" w:w="70"/>
              <w:bottom w:type="dxa" w:w="25"/>
              <w:right w:type="dxa" w:w="70"/>
            </w:tcMar>
          </w:tcPr>
          <w:p>
            <w:r>
              <w:rPr>
                <w:rFonts w:ascii="Malgun Gothic" w:cs="Malgun Gothic" w:eastAsia="Malgun Gothic" w:hAnsi="Malgun Gothic"/>
                <w:b/>
                <w:bCs/>
                <w:sz w:val="15"/>
                <w:szCs w:val="15"/>
              </w:rPr>
              <w:t xml:space="preserve">Role in synthesis</w:t>
            </w:r>
          </w:p>
        </w:tc>
        <w:tc>
          <w:tcPr>
            <w:tcW w:type="dxa" w:w="1750"/>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(9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10 cells; overlap for 6</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indigenous people in Australia, New Zealand, Canada, and the USA: A comparative population-based study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IHS-CHSDA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26476758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9 cells; overlap for 11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changing incidence of in situ and invasive ductal and lobular breast carcinomas: United States, 1999-2004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(3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19454615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variations in breast and colorectal cancer incidence from 1995 to 2011: A comparative study between Texas Cancer Registry and National Cancer Institute's Surveillance, Epidemiology and End Results data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Texas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25672365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Hormone Receptor Status, Historical Redlining, and Current Neighborhood Characteristics in Massachusetts, 2005-2015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35603845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multilevel measures of residential economic and racial segregation for cancer registries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31360840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social determinants of triple negative breast cancer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Louisiana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30834239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Nativity &amp; immigrant generation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Molecular subtype &amp; histology (n = 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of inflammatory breast cancer between 1973 and 2015 in the SEER database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33033965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inflammatory breast cancer in women, 1992-2009, United States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24366421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breast cancer phenotypes in the Surveillance, Epidemiology, and End Results database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12408373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Adenoid cystic carcinoma of the breast in the United States (1977 to 2006): a  population-based cohort study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20653964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 of inflammatory and noninflammatory breast cancer with socioeconomic characteristics in the surveillance, epidemiology, and end results database, 2000-2007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22028401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estrogen receptor status in the United States, 2004–2020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38985086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Age &amp; early-onset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Socioeconomic status &amp; screening (n = 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Geography &amp; region (n = 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composition and incidence of cancer among Hispanics in the United States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15672387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Time trends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Other (subgroup-specific descriptive) (n = 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Underlying causes of the black-white racial disparity in breast cancer mortality: A population-based analysis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19584327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bl>
    <w:p>
      <w:pPr>
        <w:spacing w:after="80"/>
      </w:pPr>
    </w:p>
    <w:p>
      <w:pPr>
        <w:spacing w:after="80"/>
      </w:pPr>
      <w:r>
        <w:rPr>
          <w:rFonts w:ascii="Malgun Gothic" w:cs="Malgun Gothic" w:eastAsia="Malgun Gothic" w:hAnsi="Malgun Gothic"/>
          <w:i/>
          <w:iCs/>
          <w:sz w:val="18"/>
          <w:szCs w:val="18"/>
        </w:rPr>
        <w:t xml:space="preserve">Note. All 176 studies are included in the systematic review; not all entered the quantitative synthesis, and rows are grouped by contribution: 58 were eligible for quantitative synthesis and all provided extractable quantitative data that entered the analysis, and the remaining 118 contributed to the narrative synthesis only (176 = 58 + 118). Study design is classified from the data source; most are population-based registry/incidence studies rather than cohort studies. A PMID (or DOI where none exists) is given for every study so each can be located individually.</w:t>
      </w:r>
    </w:p>
    <w:p>
      <w:pPr>
        <w:spacing w:after="80"/>
      </w:pPr>
      <w:r>
        <w:rPr>
          <w:rFonts w:ascii="Malgun Gothic" w:cs="Malgun Gothic" w:eastAsia="Malgun Gothic" w:hAnsi="Malgun Gothic"/>
          <w:i/>
          <w:iCs/>
          <w:sz w:val="18"/>
          <w:szCs w:val="18"/>
        </w:rPr>
        <w:t xml:space="preserve">Role in synthesis summarises, for each study, how it was used: “Representative for N cell(s)” — supplied the main-analysis benchmark for N analytic cells (group × dimension); “overlap for M” — also contributed M overlapping estimates kept only for the sensitivity re-selection; “Overlap/sensitivity only” — every estimate overlapped an already-represented cell. For the studies under “Narrative synthesis only” the column instead gives the reason no quantitative estimate was taken. The cell-by-cell selection status and the reason each estimate was or was not chosen as the representative are given in Supplementary Table 4 (main-analysis column).</w:t>
      </w:r>
    </w:p>
    <w:p>
      <w:r>
        <w:br w:type="page"/>
      </w:r>
    </w:p>
    <w:p>
      <w:pPr>
        <w:spacing w:after="100" w:before="200"/>
      </w:pPr>
      <w:r>
        <w:rPr>
          <w:rFonts w:ascii="Malgun Gothic" w:cs="Malgun Gothic" w:eastAsia="Malgun Gothic" w:hAnsi="Malgun Gothic"/>
          <w:b/>
          <w:bCs/>
          <w:color w:val="000000"/>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2010-2021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Proportionate cancer incidence in the Laotian population of California, 1988-2006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U.S. military population: Comparison with rates from the SEER Program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Enclave Residence and Breast, Cervical, and Colorectal Cancer Incidence among Asian American Adults, 2006 to 2017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4. Registry overlap and representative 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0.99 [0.87, 1.12]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standard (IARC)</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1.14 [1.01,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[0.70,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 [0.62,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[0.93,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[0.68,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[0.74, 0.75]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0.630 [0.622, 0.639]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0.676 [0.659, 0.695]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[0.81,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0.563 [0.33,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0.455 [0.292, 0.709]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0.475 [0.458, 0.492]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[0.737, 0.747]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 [0.89, 0.92]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0.567 [0.526, 0.612]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0.642 [0.597, 0.69]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[0.951,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0.826 [0.820, 0.832]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[0.931,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[1.04,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0.812 [0.772,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0.807 [0.762,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Texas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0.969 [0.934, 1.005]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[0.696, 0.705]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[0.69,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0.571 [0.529, 0.617]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0.617 [0.578,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 (indirect, US White reference)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0.527 [0.494, 0.562]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1.29 [1.26, 1.32]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[1.17, 1.52]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1.49 [1.28, 1.71]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[0.78,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[0.83,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[0.70,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 [0.90,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[0.49, 1.06]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[0.76,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1.93 [1.90, 1.95]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2.10 [1.94, 2.27]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Louisiana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 (model-adjusted)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2.21 [1.96, 2.48]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[0.53, 1.13]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Note. Each row is the single representative estimate selected for one analytic cell (group × dimension) for the main analysis: the broadest-coverage, most recent source with an appropriate population definition and standardization — a population-based benchmark, not a pooled estimate. Overlapping estimates from nested registries (county ⊂ state ⊂ SEER; SEER and NPCR feed USCS) are not independent and are retained only for the sensitivity re-selection.</w:t>
      </w:r>
    </w:p>
    <w:p>
      <w:pPr>
        <w:spacing w:after="80"/>
      </w:pPr>
      <w:r>
        <w:rPr>
          <w:rFonts w:ascii="Malgun Gothic" w:cs="Malgun Gothic" w:eastAsia="Malgun Gothic" w:hAnsi="Malgun Gothic"/>
          <w:i/>
          <w:iCs/>
          <w:sz w:val="18"/>
          <w:szCs w:val="18"/>
        </w:rPr>
        <w:t xml:space="preserve">Registry family: SEER-national = the pooled SEER 9/13/17/18/21/22 registries; USCS = United States Cancer Statistics, which pools SEER and NPCR to cover nearly the entire U.S. population; NAACCR = the North American Association of Central Cancer Registries; NPCR = the National Program of Cancer Registries; IHS-PRCDA = an Indian Health Service Purchased/Referred Care Delivery Area linkage that improves ascertainment of AI/AN cases; ANTR = the Alaska Native Tumor Registry; California-CCR = the California Cancer Registry; and “State: X” = a single state central registry (for example, Texas, Louisiana, or Massachusetts).</w:t>
      </w:r>
    </w:p>
    <w:p>
      <w:pPr>
        <w:spacing w:after="80"/>
      </w:pPr>
      <w:r>
        <w:rPr>
          <w:rFonts w:ascii="Malgun Gothic" w:cs="Malgun Gothic" w:eastAsia="Malgun Gothic" w:hAnsi="Malgun Gothic"/>
          <w:i/>
          <w:iCs/>
          <w:sz w:val="18"/>
          <w:szCs w:val="18"/>
        </w:rPr>
        <w:t xml:space="preserve">Comparator: the reference is shown as each source defined it — non-Hispanic White (NHW) where the source stratified by Hispanic origin, or “White (not NH-stratified)” otherwise (concentrated in the receptor-defined subtypes and AI/AN comparisons). The reference and minority rates come from the same source, period, and standard population, so each IRR is internally valid even where the reference is unstratified White; Supplementary Table 6c restricts to NHW-comparator estimates.</w:t>
      </w:r>
    </w:p>
    <w:p>
      <w:pPr>
        <w:spacing w:after="80"/>
      </w:pPr>
      <w:r>
        <w:rPr>
          <w:rFonts w:ascii="Malgun Gothic" w:cs="Malgun Gothic" w:eastAsia="Malgun Gothic" w:hAnsi="Malgun Gothic"/>
          <w:i/>
          <w:iCs/>
          <w:sz w:val="18"/>
          <w:szCs w:val="18"/>
        </w:rPr>
        <w:t xml:space="preserve">Standard population: age-standardized to the 2000 U.S. standard unless the “Std pop” column shows otherwise. The rate ratio is formed within a study, so it does not depend on that study's choice of standard population; it does not, however, make estimates from different studies mutually comparable, because their standard populations, periods, and regions still differ.</w:t>
      </w:r>
    </w:p>
    <w:p>
      <w:pPr>
        <w:spacing w:after="80"/>
      </w:pPr>
      <w:r>
        <w:rPr>
          <w:rFonts w:ascii="Malgun Gothic" w:cs="Malgun Gothic" w:eastAsia="Malgun Gothic" w:hAnsi="Malgun Gothic"/>
          <w:i/>
          <w:iCs/>
          <w:sz w:val="18"/>
          <w:szCs w:val="18"/>
        </w:rPr>
        <w:t xml:space="preserve">Main-analysis codes: “yes (representative)” = carried into the main analysis as the group's benchmark; “no (overlaps representative)” = an overlapping estimate for the same cell, used only when the representative is re-selected (Table 6); “no (AI/AN undercount)” = an unlinked-registry AI/AN estimate demoted in favour of the IHS-linked representative; “no (registry-direct anchor)” = the SEER-Explorer reference value, not a screened study; “no (external comparator)” = borrows an out-of-paper SEER-Explorer NHW rate, kept only as an overlap record; “no (no usable IRR)” = the source named the subgroup but reported no rate or ratio.</w:t>
      </w:r>
    </w:p>
    <w:p>
      <w:r>
        <w:br w:type="page"/>
      </w:r>
    </w:p>
    <w:p>
      <w:pPr>
        <w:spacing w:after="100" w:before="200"/>
      </w:pPr>
      <w:r>
        <w:rPr>
          <w:rFonts w:ascii="Malgun Gothic" w:cs="Malgun Gothic" w:eastAsia="Malgun Gothic" w:hAnsi="Malgun Gothic"/>
          <w:b/>
          <w:bCs/>
          <w:color w:val="000000"/>
          <w:sz w:val="24"/>
          <w:szCs w:val="24"/>
        </w:rPr>
        <w:t xml:space="preserve">Supplementary Table 5. Risk of bias (JBI checklist for studies reporting prevalence/incidence data)</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820"/>
        <w:gridCol w:w="934"/>
        <w:gridCol w:w="934"/>
        <w:gridCol w:w="934"/>
        <w:gridCol w:w="934"/>
        <w:gridCol w:w="934"/>
        <w:gridCol w:w="934"/>
        <w:gridCol w:w="934"/>
        <w:gridCol w:w="934"/>
        <w:gridCol w:w="2109"/>
      </w:tblGrid>
      <w:tr>
        <w:trPr>
          <w:tblHeader/>
        </w:trPr>
        <w:tc>
          <w:tcPr>
            <w:tcW w:type="dxa" w:w="4820"/>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210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item is rated Y (Yes), N (No), or U (Unclear); overall risk of bias is Low, Moderate, or High. Item 9 (survey response rate) was not applicable to any study — census-like registry ascertainment has no survey response rate — so it is omitted here and the rating uses the eight applicable items (Q1–Q8).</w:t>
      </w: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w:t>
      </w:r>
    </w:p>
    <w:p>
      <w:pPr>
        <w:spacing w:after="80"/>
      </w:pPr>
      <w:r>
        <w:rPr>
          <w:rFonts w:ascii="Malgun Gothic" w:cs="Malgun Gothic" w:eastAsia="Malgun Gothic" w:hAnsi="Malgun Gothic"/>
          <w:i/>
          <w:iCs/>
          <w:sz w:val="18"/>
          <w:szCs w:val="18"/>
        </w:rPr>
        <w:t xml:space="preserve">Overall risk of bias (over the eight applicable items; Q9 = NA excluded): Low = at most one item not met with the two key items (Q7 measurement, Q8 analysis) met; High = three or more items not met; Moderate otherwise. Of 58 studies assessed, 45 were Low, 13 Moderate, and 0 High; the Moderate ratings arise chiefly where an estimate was reported as a point value without a variance (Q8) or where race/ethnicity ascertainment was limited (Q7).</w:t>
      </w:r>
    </w:p>
    <w:p>
      <w:r>
        <w:br w:type="page"/>
      </w:r>
    </w:p>
    <w:p>
      <w:pPr>
        <w:spacing w:after="100" w:before="200"/>
      </w:pPr>
      <w:r>
        <w:rPr>
          <w:rFonts w:ascii="Malgun Gothic" w:cs="Malgun Gothic" w:eastAsia="Malgun Gothic" w:hAnsi="Malgun Gothic"/>
          <w:b/>
          <w:bCs/>
          <w:color w:val="000000"/>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60 of 85 cells unchanged, 13 changed, 12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35 unchanged, 5 changed, 45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66 of 85 cells unchanged, 1 changed, 18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6d. 2000 U.S. standard population only (estimates on other standard populations dropped): 83 of 85 cells unchanged, 2 changed, 0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2000 U.S. standard population only in Table 6d).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spacing w:after="100" w:before="200"/>
      </w:pPr>
      <w:r>
        <w:rPr>
          <w:rFonts w:ascii="Malgun Gothic" w:cs="Malgun Gothic" w:eastAsia="Malgun Gothic" w:hAnsi="Malgun Gothic"/>
          <w:b/>
          <w:bCs/>
          <w:color w:val="000000"/>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spacing w:after="100" w:before="200"/>
      </w:pPr>
      <w:r>
        <w:rPr>
          <w:rFonts w:ascii="Malgun Gothic" w:cs="Malgun Gothic" w:eastAsia="Malgun Gothic" w:hAnsi="Malgun Gothic"/>
          <w:b/>
          <w:bCs/>
          <w:color w:val="000000"/>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invariant to the 20+ vs all-age standard (ages 0–19 contribute ≈0 to both numerator and denominator).</w:t>
      </w:r>
    </w:p>
    <w:p>
      <w:pPr>
        <w:spacing w:after="80"/>
        <w:ind w:left="360" w:hanging="180"/>
      </w:pPr>
      <w:r>
        <w:rPr>
          <w:rFonts w:ascii="Malgun Gothic" w:cs="Malgun Gothic" w:eastAsia="Malgun Gothic" w:hAnsi="Malgun Gothic"/>
          <w:i w:val="false"/>
          <w:iCs w:val="false"/>
          <w:sz w:val="18"/>
          <w:szCs w:val="18"/>
        </w:rPr>
        <w:t xml:space="preserve">•  Amirikia 2011 (Amirikia 2011, CCR). Table 2 gives TNBC rates by 5 age groups (0–39, 40–49, 50–59, 60–74, ≥75) per race; standardized to the 2000 US standard (P25-1130 group weights) → all-ages TNBC rates NHB 23.6, NHW 12.6, Hispanic 10.2 (reproduces our values). IRR = minority/NHW (point; source gives per-age CIs only): Black 1.87, Hispanic 0.81.</w:t>
      </w:r>
    </w:p>
    <w:p>
      <w:pPr>
        <w:spacing w:after="100" w:before="200"/>
      </w:pPr>
      <w:r>
        <w:rPr>
          <w:rFonts w:ascii="Malgun Gothic" w:cs="Malgun Gothic" w:eastAsia="Malgun Gothic" w:hAnsi="Malgun Gothic"/>
          <w:b/>
          <w:bCs/>
          <w:color w:val="000000"/>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Loo 2019, Gleason 2012, Du 2022, Anderson 2008, Keegan 2010, Richardson 2016, Eheman 2009, Liu 2015, Ihenacho 2023, Xie 2022, Wright 2022, Krieger 2018, Carozza 2006, Gomez 2003, Miller 2008.</w:t>
      </w:r>
    </w:p>
    <w:p>
      <w:pPr>
        <w:spacing w:after="80"/>
        <w:ind w:left="360" w:hanging="180"/>
      </w:pPr>
      <w:r>
        <w:rPr>
          <w:rFonts w:ascii="Malgun Gothic" w:cs="Malgun Gothic" w:eastAsia="Malgun Gothic" w:hAnsi="Malgun Gothic"/>
          <w:i w:val="false"/>
          <w:iCs w:val="false"/>
          <w:sz w:val="18"/>
          <w:szCs w:val="18"/>
        </w:rPr>
        <w:t xml:space="preserve">•  Eheman 2009 (Eheman 2009, NPCR+SEER, 44 states + DC, 1999–2004). Table 5 prints age-standardized (2000 US) total invasive lobular/ductal/mixed breast IR with 95% CIs by race, White 108.1 [107.9–108.3]: Black 89.3/108.1 = 0.826 [0.820, 0.832], Asian/PI 51.3/108.1 = 0.475 [0.458, 0.492], AI/AN 68.1/108.1 = 0.630 [0.622, 0.639] (delta method). Comparator is unstratified White; a national estimate over the ductal/lobular/mixed subset (~87% of invasive breast), each entering its aggregate-vs-NHW cell as a sensitivity overlap of the USCS-national representative (Ellington 2022), which it does not displace (lower coverage, unstratified comparator, older period).</w:t>
      </w:r>
    </w:p>
    <w:p>
      <w:pPr>
        <w:spacing w:after="80"/>
        <w:ind w:left="360" w:hanging="180"/>
      </w:pPr>
      <w:r>
        <w:rPr>
          <w:rFonts w:ascii="Malgun Gothic" w:cs="Malgun Gothic" w:eastAsia="Malgun Gothic" w:hAnsi="Malgun Gothic"/>
          <w:i w:val="false"/>
          <w:iCs w:val="false"/>
          <w:sz w:val="18"/>
          <w:szCs w:val="18"/>
        </w:rPr>
        <w:t xml:space="preserve">•  Liu 2015 (Liu 2015, Texas Cancer Registry, 1995–2011). Table II prints age-adjusted (2000 US) breast IR with 95% CIs, White 136.14 [131.91–140.37], Black 131.90 [129.40–134.40]: Black/White = 0.969 [0.934, 1.005] (delta method). Comparator is unstratified White; the paper's own stage/grade-adjusted incidence ratio is 0.98 [0.97, 0.99]. A single-state estimate entering the Black aggregate-vs-NHW cell as a sensitivity overlap of the national representative.</w:t>
      </w:r>
    </w:p>
    <w:p>
      <w:pPr>
        <w:spacing w:after="80"/>
        <w:ind w:left="360" w:hanging="180"/>
      </w:pPr>
      <w:r>
        <w:rPr>
          <w:rFonts w:ascii="Malgun Gothic" w:cs="Malgun Gothic" w:eastAsia="Malgun Gothic" w:hAnsi="Malgun Gothic"/>
          <w:i w:val="false"/>
          <w:iCs w:val="false"/>
          <w:sz w:val="18"/>
          <w:szCs w:val="18"/>
        </w:rPr>
        <w:t xml:space="preserve">•  Krieger 2018 (Krieger 2018, Massachusetts Cancer Registry, 2010–2014). Table 2 prints age-standardized (2000 US) breast incidence rates with 95% CIs by race, NHW 140.8 [139.0–142.7]: NHB 113.6/140.8 = 0.807 [0.762, 0.855], Hispanic 86.9/140.8 = 0.617 [0.578, 0.660], Asian/PI 90.4/140.8 = 0.642 [0.597, 0.690], AI/AN 64.1/140.8 = 0.455 [0.292, 0.709] (delta method from the reported rate CIs). A single-state estimate;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Wright 2022 (Wright/Krieger 2022, Massachusetts Cancer Registry, 28 HOLC municipalities, 2005–2015). Table 3 prints age-standardized (2000 US) breast IR by race, NHW 146.56 [143.91–149.25]: NHB 119.06/146.56 = 0.812 [0.772, 0.855], Hispanic 83.71 = 0.571 [0.529, 0.617], Asian/PI 83.15 = 0.567 [0.526, 0.612], AI/AN 82.57 = 0.563 [0.330, 0.963] (delta method). A single-state estimate (overlaps the national aggregate reps and the other Massachusetts study, Krieger 2018).</w:t>
      </w:r>
    </w:p>
    <w:p>
      <w:pPr>
        <w:spacing w:after="80"/>
        <w:ind w:left="360" w:hanging="180"/>
      </w:pPr>
      <w:r>
        <w:rPr>
          <w:rFonts w:ascii="Malgun Gothic" w:cs="Malgun Gothic" w:eastAsia="Malgun Gothic" w:hAnsi="Malgun Gothic"/>
          <w:i w:val="false"/>
          <w:iCs w:val="false"/>
          <w:sz w:val="18"/>
          <w:szCs w:val="18"/>
        </w:rPr>
        <w:t xml:space="preserve">•  Du 2022 (Du 2022, SEER 18, 2000–2018). The table prints age-adjusted rates (2000 US std) by race with 95% CIs, referenced to Asian/PI (not NHW). We recompute each group's IRR vs NHW from the same-source rates and rate CIs by the delta method (minority IR / NHW IR 190.4 [190.0–190.8]): Asian/PI 141.3/190.4 = 0.742 [0.737, 0.747], NHB 178.4/190.4 = 0.937 [0.931, 0.943], AI/AN 128.8/190.4 = 0.676 [0.659, 0.695], Hispanic 133.3/190.4 = 0.700 [0.696, 0.705]. SEER-18 overall estimates;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Loo 2019 (Loo 2019, Hawaii HTR). The source printed IRRs with implausibly narrow CIs (e.g. Native Hawaiian HR+/HER2+ 1.35 [1.347–1.351]); its Table 1 rate CIs, however, are correct for the sample sizes. We therefore discard the source IRR CIs and recompute each subtype IRR and its CI from the Table 1 age-adjusted rates and rate CIs by the delta method (minority IR / White IR; comparator = unstratified Whites, †). Example: Chinese HR+/HER2− 66.8 [56.9–78.1] / White 114.3 [106.4–122.6] = 0.58 [0.49, 0.70] (source gave 0.58 [0.46–0.53], which excluded its own point estimate). Verified: recomputed points reproduce the source IRRs (e.g. Japanese HR+/HER2− 118.1/114.3 = 1.03).</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study 463,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unlinked and undercount AI/AN. The IHS-PRCDA Melkonian 2019 study (Melkonian 2019) also reports a Northern-Plains breast estimate (RR 1.05), so Watanabe-Galloway 2015 is not the only Northern-Plains source; because the IHS-linked source corrects the AI/AN undercount, Melkonian 2019 (1.05) is the Northern-Plains representative and Watanabe-Galloway 2015 (0.902, unlinked, undercount-prone) is demoted to an overlap/sensitivity row.</w:t>
      </w:r>
    </w:p>
    <w:p>
      <w:pPr>
        <w:spacing w:after="100" w:before="200"/>
      </w:pPr>
      <w:r>
        <w:rPr>
          <w:rFonts w:ascii="Malgun Gothic" w:cs="Malgun Gothic" w:eastAsia="Malgun Gothic" w:hAnsi="Malgun Gothic"/>
          <w:b/>
          <w:bCs/>
          <w:color w:val="000000"/>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 Limitation: these are age-standardized rates, so a total-count Poisson SE does not fully capture the age-specific weighting of the variance; it is a deliberate approximation used only where the source reported no rate SE or interval. Where a source did report rate CIs the CI is instead propagated by the delta method (§1, §4, §4b) — e.g. Cronin 2012 (Cronin) was moved to a delta-method CI from its printed rate CIs (Black 116.9 [116.2–117.6], White 122.1 [121.8–122.3]), giving 0.957 [0.951, 0.963] in place of the earlier total-count Poisson interval.</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spacing w:after="100" w:before="200"/>
      </w:pPr>
      <w:r>
        <w:rPr>
          <w:rFonts w:ascii="Malgun Gothic" w:cs="Malgun Gothic" w:eastAsia="Malgun Gothic" w:hAnsi="Malgun Gothic"/>
          <w:b/>
          <w:bCs/>
          <w:color w:val="000000"/>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spacing w:after="100" w:before="200"/>
      </w:pPr>
      <w:r>
        <w:rPr>
          <w:rFonts w:ascii="Malgun Gothic" w:cs="Malgun Gothic" w:eastAsia="Malgun Gothic" w:hAnsi="Malgun Gothic"/>
          <w:b/>
          <w:bCs/>
          <w:color w:val="000000"/>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spacing w:after="100" w:before="200"/>
      </w:pPr>
      <w:r>
        <w:rPr>
          <w:rFonts w:ascii="Malgun Gothic" w:cs="Malgun Gothic" w:eastAsia="Malgun Gothic" w:hAnsi="Malgun Gothic"/>
          <w:b/>
          <w:bCs/>
          <w:color w:val="000000"/>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Source states the US 2000 standard (incidence-table footnote: "Rates are age adjusted to the US 2000 population standards").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spacing w:after="100" w:before="200"/>
      </w:pPr>
      <w:r>
        <w:rPr>
          <w:rFonts w:ascii="Malgun Gothic" w:cs="Malgun Gothic" w:eastAsia="Malgun Gothic" w:hAnsi="Malgun Gothic"/>
          <w:b/>
          <w:bCs/>
          <w:color w:val="000000"/>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Black statement is printed NHW-vs-Black (1.04); it would invert to 0.96 but was left unrecorded as ambiguous.</w:t>
      </w:r>
    </w:p>
    <w:p>
      <w:pPr>
        <w:spacing w:after="100" w:before="200"/>
      </w:pPr>
      <w:r>
        <w:rPr>
          <w:rFonts w:ascii="Malgun Gothic" w:cs="Malgun Gothic" w:eastAsia="Malgun Gothic" w:hAnsi="Malgun Gothic"/>
          <w:b/>
          <w:bCs/>
          <w:color w:val="000000"/>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and South Asian [=Asian Indian/Pakistani] 77.0 (72.1-82.1). IRR = rate/146.1 with delta-method CI (e.g. Chinese 0.503, 0.490-0.516; South Asian 0.527, 0.494-0.562).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2026-09-17T11:40:04.525Z</dcterms:created>
  <dcterms:modified xsi:type="dcterms:W3CDTF">2026-09-17T11:40:04.525Z</dcterms:modified>
</cp:coreProperties>
</file>

<file path=docProps/custom.xml><?xml version="1.0" encoding="utf-8"?>
<Properties xmlns="http://schemas.openxmlformats.org/officeDocument/2006/custom-properties" xmlns:vt="http://schemas.openxmlformats.org/officeDocument/2006/docPropsVTypes"/>
</file>