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전체 검수 (7개 항목 + 작성지침)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7개 항목 재검수</w:t>
      </w:r>
      <w:r>
        <w:rPr>
          <w:rFonts w:ascii="Malgun Gothic" w:cs="Malgun Gothic" w:eastAsia="Malgun Gothic" w:hAnsi="Malgun Gothic"/>
          <w:b w:val="false"/>
          <w:bCs w:val="false"/>
          <w:color w:val="000000"/>
          <w:sz w:val="20"/>
          <w:szCs w:val="20"/>
        </w:rPr>
        <w:t xml:space="preserve">: 각 항목의 수정이 실제 파일에 반영됐는지 21개 항목으로 기계 점검 — Miller 자료원 정정·Native Hawaiian 대표 1.270·Kong 역수(0.96, provenance)·Goggins registry subset(1번), 표준인구 비상쇄 서술과 S4 Note(2번), SIR 제외 필터·네 표 dropped 제시·변경 전후 연구 병기(3번), RoB 41/17·분산 없는 Q8=Yes 0건·평가단위 명시(4번), 중복 제외 vs narrative 잔류 기준(5번), independent 표현 삭제·PRCDA 53%·세 요인 기술(6번), Figure 2의 AI/AN 7개 지역·† 1건·forest 85 cell(7번) </w:t>
      </w:r>
      <w:r>
        <w:rPr>
          <w:rFonts w:ascii="Malgun Gothic" w:cs="Malgun Gothic" w:eastAsia="Malgun Gothic" w:hAnsi="Malgun Gothic"/>
          <w:b/>
          <w:bCs/>
          <w:color w:val="000000"/>
          <w:sz w:val="20"/>
          <w:szCs w:val="20"/>
        </w:rPr>
        <w:t xml:space="preserve">전부 확인</w:t>
      </w:r>
      <w:r>
        <w:rPr>
          <w:rFonts w:ascii="Malgun Gothic" w:cs="Malgun Gothic" w:eastAsia="Malgun Gothic" w:hAnsi="Malgun Gothic"/>
          <w:b w:val="false"/>
          <w:bCs w:val="false"/>
          <w:color w:val="000000"/>
          <w:sz w:val="20"/>
          <w:szCs w:val="20"/>
        </w:rPr>
        <w:t xml:space="preserve">. 교차점검 A–I도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작성지침 대조</w:t>
      </w:r>
      <w:r>
        <w:rPr>
          <w:rFonts w:ascii="Malgun Gothic" w:cs="Malgun Gothic" w:eastAsia="Malgun Gothic" w:hAnsi="Malgun Gothic"/>
          <w:b w:val="false"/>
          <w:bCs w:val="false"/>
          <w:color w:val="000000"/>
          <w:sz w:val="20"/>
          <w:szCs w:val="20"/>
        </w:rPr>
        <w:t xml:space="preserve">: 금지 표현(수사적 동사, 절대 표현, LLM 상투구, 1인칭 단수, 폐기 용어 API·Asian/Pacific Islander·Blacks/Whites, "contemporary benchmark")을 본문 전체에 기계 검색 → </w:t>
      </w:r>
      <w:r>
        <w:rPr>
          <w:rFonts w:ascii="Malgun Gothic" w:cs="Malgun Gothic" w:eastAsia="Malgun Gothic" w:hAnsi="Malgun Gothic"/>
          <w:b/>
          <w:bCs/>
          <w:color w:val="000000"/>
          <w:sz w:val="20"/>
          <w:szCs w:val="20"/>
        </w:rPr>
        <w:t xml:space="preserve">위반 0건</w:t>
      </w:r>
      <w:r>
        <w:rPr>
          <w:rFonts w:ascii="Malgun Gothic" w:cs="Malgun Gothic" w:eastAsia="Malgun Gothic" w:hAnsi="Malgun Gothic"/>
          <w:b w:val="false"/>
          <w:bCs w:val="false"/>
          <w:color w:val="000000"/>
          <w:sz w:val="20"/>
          <w:szCs w:val="20"/>
        </w:rPr>
        <w:t xml:space="preserve">. 문장 길이 분산도 각 섹션 표준편차 17–30 단어(최단 4–10, 최장 87–124)로 단조롭지 않음. 인용 분산 원칙에 따라 4개가 묶여 있던 곳 1건(AI/AN 지역 범위 + Navajo)을 </w:t>
      </w:r>
      <w:r>
        <w:rPr>
          <w:rFonts w:ascii="Malgun Gothic" w:cs="Malgun Gothic" w:eastAsia="Malgun Gothic" w:hAnsi="Malgun Gothic"/>
          <w:b/>
          <w:bCs/>
          <w:color w:val="000000"/>
          <w:sz w:val="20"/>
          <w:szCs w:val="20"/>
        </w:rPr>
        <w:t xml:space="preserve">지역 보고(¹⁰,⁵³)와 Navajo Nation 분석(⁴⁸)으로 분리</w:t>
      </w:r>
      <w:r>
        <w:rPr>
          <w:rFonts w:ascii="Malgun Gothic" w:cs="Malgun Gothic" w:eastAsia="Malgun Gothic" w:hAnsi="Malgun Gothic"/>
          <w:b w:val="false"/>
          <w:bCs w:val="false"/>
          <w:color w:val="000000"/>
          <w:sz w:val="20"/>
          <w:szCs w:val="20"/>
        </w:rPr>
        <w:t xml:space="preserve">하고, 해당 claim을 뒷받침하지 않는 전국 unlinked 연구(⁴⁴) 인용은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표기 잔여분 정리</w:t>
      </w:r>
      <w:r>
        <w:rPr>
          <w:rFonts w:ascii="Malgun Gothic" w:cs="Malgun Gothic" w:eastAsia="Malgun Gothic" w:hAnsi="Malgun Gothic"/>
          <w:b w:val="false"/>
          <w:bCs w:val="false"/>
          <w:color w:val="000000"/>
          <w:sz w:val="20"/>
          <w:szCs w:val="20"/>
        </w:rPr>
        <w:t xml:space="preserve">: 1·5번에서 Introduction·Table 1의 "per registry family"를 "per analytic cell"로 통일했으나, 내부 산출물과 코드 주석(results_tables.py, meta_analysis_v2.py, make_registry_overlap.py, MANUSCRIPT_VS_SUPPLE.md)에 같은 표현이 남아 있어 함께 통일. 제출 문서에는 영향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참고문헌 도달성 결함 발견·수정</w:t>
      </w:r>
      <w:r>
        <w:rPr>
          <w:rFonts w:ascii="Malgun Gothic" w:cs="Malgun Gothic" w:eastAsia="Malgun Gothic" w:hAnsi="Malgun Gothic"/>
          <w:b w:val="false"/>
          <w:bCs w:val="false"/>
          <w:color w:val="000000"/>
          <w:sz w:val="20"/>
          <w:szCs w:val="20"/>
        </w:rPr>
        <w:t xml:space="preserve">: 참고문헌 64건 중 </w:t>
      </w:r>
      <w:r>
        <w:rPr>
          <w:rFonts w:ascii="Malgun Gothic" w:cs="Malgun Gothic" w:eastAsia="Malgun Gothic" w:hAnsi="Malgun Gothic"/>
          <w:b/>
          <w:bCs/>
          <w:color w:val="000000"/>
          <w:sz w:val="20"/>
          <w:szCs w:val="20"/>
        </w:rPr>
        <w:t xml:space="preserve">39건이 본문·표 어디에서도 인용되지 않아</w:t>
      </w:r>
      <w:r>
        <w:rPr>
          <w:rFonts w:ascii="Malgun Gothic" w:cs="Malgun Gothic" w:eastAsia="Malgun Gothic" w:hAnsi="Malgun Gothic"/>
          <w:b w:val="false"/>
          <w:bCs w:val="false"/>
          <w:color w:val="000000"/>
          <w:sz w:val="20"/>
          <w:szCs w:val="20"/>
        </w:rPr>
        <w:t xml:space="preserve"> 번호가 가리켜지지 않는 상태였음(추정치를 공급한 연구들이 Table 1·Supplementary Table 4에 저자·연도로만 표기되고 번호가 없었기 때문). 두 표의 연구 칸에 </w:t>
      </w:r>
      <w:r>
        <w:rPr>
          <w:rFonts w:ascii="Malgun Gothic" w:cs="Malgun Gothic" w:eastAsia="Malgun Gothic" w:hAnsi="Malgun Gothic"/>
          <w:b/>
          <w:bCs/>
          <w:color w:val="000000"/>
          <w:sz w:val="20"/>
          <w:szCs w:val="20"/>
        </w:rPr>
        <w:t xml:space="preserve">참고문헌 번호를 대괄호로 병기</w:t>
      </w:r>
      <w:r>
        <w:rPr>
          <w:rFonts w:ascii="Malgun Gothic" w:cs="Malgun Gothic" w:eastAsia="Malgun Gothic" w:hAnsi="Malgun Gothic"/>
          <w:b w:val="false"/>
          <w:bCs w:val="false"/>
          <w:color w:val="000000"/>
          <w:sz w:val="20"/>
          <w:szCs w:val="20"/>
        </w:rPr>
        <w:t xml:space="preserve">(예: "Ellington 2022 [25]", "Melkonian 2019 [53]")하고 각 표 Note에 그 의미를 명시 → </w:t>
      </w:r>
      <w:r>
        <w:rPr>
          <w:rFonts w:ascii="Malgun Gothic" w:cs="Malgun Gothic" w:eastAsia="Malgun Gothic" w:hAnsi="Malgun Gothic"/>
          <w:b/>
          <w:bCs/>
          <w:color w:val="000000"/>
          <w:sz w:val="20"/>
          <w:szCs w:val="20"/>
        </w:rPr>
        <w:t xml:space="preserve">64건 전부 도달 가능</w:t>
      </w:r>
      <w:r>
        <w:rPr>
          <w:rFonts w:ascii="Malgun Gothic" w:cs="Malgun Gothic" w:eastAsia="Malgun Gothic" w:hAnsi="Malgun Gothic"/>
          <w:b w:val="false"/>
          <w:bCs w:val="false"/>
          <w:color w:val="000000"/>
          <w:sz w:val="20"/>
          <w:szCs w:val="20"/>
        </w:rPr>
        <w:t xml:space="preserve">. 표 셀은 위첨자로 조판되지 않으므로 대괄호를 사용.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은퇴 파일 정리</w:t>
      </w:r>
      <w:r>
        <w:rPr>
          <w:rFonts w:ascii="Malgun Gothic" w:cs="Malgun Gothic" w:eastAsia="Malgun Gothic" w:hAnsi="Malgun Gothic"/>
          <w:b w:val="false"/>
          <w:bCs w:val="false"/>
          <w:color w:val="000000"/>
          <w:sz w:val="20"/>
          <w:szCs w:val="20"/>
        </w:rPr>
        <w:t xml:space="preserve">: 더 이상 어디에서도 참조되지 않는 `manuscript/References_draft.md`(구 초안 참고목록) 삭제. 현재 참고목록은 `References_complete.md` 단일본.</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2026-09-22T04:57:12.444Z</dcterms:created>
  <dcterms:modified xsi:type="dcterms:W3CDTF">2026-09-22T04:57:12.444Z</dcterms:modified>
</cp:coreProperties>
</file>

<file path=docProps/custom.xml><?xml version="1.0" encoding="utf-8"?>
<Properties xmlns="http://schemas.openxmlformats.org/officeDocument/2006/custom-properties" xmlns:vt="http://schemas.openxmlformats.org/officeDocument/2006/docPropsVTypes"/>
</file>